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ind w:right="-298" w:rightChars="-142"/>
        <w:jc w:val="center"/>
        <w:textAlignment w:val="baseline"/>
        <w:rPr>
          <w:rFonts w:hint="eastAsia" w:ascii="方正小标宋简体" w:hAnsi="宋体" w:eastAsia="方正小标宋简体"/>
          <w:b/>
          <w:color w:val="FF0000"/>
          <w:spacing w:val="200"/>
          <w:sz w:val="58"/>
          <w:szCs w:val="58"/>
        </w:rPr>
      </w:pPr>
      <w:r>
        <w:rPr>
          <w:sz w:val="58"/>
        </w:rPr>
        <mc:AlternateContent>
          <mc:Choice Requires="wps">
            <w:drawing>
              <wp:anchor distT="0" distB="0" distL="114300" distR="114300" simplePos="0" relativeHeight="251659264" behindDoc="0" locked="0" layoutInCell="1" allowOverlap="1">
                <wp:simplePos x="0" y="0"/>
                <wp:positionH relativeFrom="column">
                  <wp:posOffset>4899025</wp:posOffset>
                </wp:positionH>
                <wp:positionV relativeFrom="paragraph">
                  <wp:posOffset>-678180</wp:posOffset>
                </wp:positionV>
                <wp:extent cx="1238250" cy="400050"/>
                <wp:effectExtent l="0" t="0" r="0" b="0"/>
                <wp:wrapNone/>
                <wp:docPr id="2" name="文本框 2"/>
                <wp:cNvGraphicFramePr/>
                <a:graphic xmlns:a="http://schemas.openxmlformats.org/drawingml/2006/main">
                  <a:graphicData uri="http://schemas.microsoft.com/office/word/2010/wordprocessingShape">
                    <wps:wsp>
                      <wps:cNvSpPr txBox="1"/>
                      <wps:spPr>
                        <a:xfrm>
                          <a:off x="5890260" y="506095"/>
                          <a:ext cx="1238250" cy="4000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5.75pt;margin-top:-53.4pt;height:31.5pt;width:97.5pt;z-index:251659264;mso-width-relative:page;mso-height-relative:page;" fillcolor="#FFFFFF [3201]" filled="t" stroked="f" coordsize="21600,21600" o:gfxdata="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1cuSatYAAAAMAQAADwAAAAAAAAABACAAAAAiAAAAZHJzL2Rv&#10;d25yZXYueG1sUEsBAhQAFAAAAAgAh07iQFi1zl08AgAATAQAAA4AAAAAAAAAAQAgAAAAJQEAAGRy&#10;cy9lMm9Eb2MueG1sUEsFBgAAAAAGAAYAWQEAANMFAAAAAA==&#10;">
                <v:fill on="t" focussize="0,0"/>
                <v:stroke on="f" weight="0.5pt"/>
                <v:imagedata o:title=""/>
                <o:lock v:ext="edit" aspectratio="f"/>
                <v:textbox>
                  <w:txbxContent>
                    <w:p/>
                  </w:txbxContent>
                </v:textbox>
              </v:shape>
            </w:pict>
          </mc:Fallback>
        </mc:AlternateContent>
      </w:r>
      <w:r>
        <w:rPr>
          <w:rFonts w:hint="eastAsia" w:ascii="方正小标宋简体" w:hAnsi="宋体" w:eastAsia="方正小标宋简体"/>
          <w:b/>
          <w:color w:val="FF0000"/>
          <w:spacing w:val="250"/>
          <w:sz w:val="58"/>
          <w:szCs w:val="58"/>
        </w:rPr>
        <w:t>广东省妇女联合</w:t>
      </w:r>
      <w:r>
        <w:rPr>
          <w:rFonts w:hint="eastAsia" w:ascii="方正小标宋简体" w:hAnsi="宋体" w:eastAsia="方正小标宋简体"/>
          <w:b/>
          <w:color w:val="FF0000"/>
          <w:spacing w:val="200"/>
          <w:sz w:val="58"/>
          <w:szCs w:val="58"/>
        </w:rPr>
        <w:t>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baseline"/>
        <w:outlineLvl w:val="9"/>
        <w:rPr>
          <w:rFonts w:hint="eastAsia" w:ascii="方正小标宋简体" w:hAnsi="宋体" w:eastAsia="方正小标宋简体"/>
          <w:b/>
          <w:spacing w:val="200"/>
          <w:sz w:val="52"/>
          <w:szCs w:val="52"/>
        </w:rPr>
      </w:pPr>
      <w:r>
        <w:rPr>
          <w:rFonts w:hint="eastAsia" w:ascii="方正小标宋简体" w:hAnsi="宋体" w:eastAsia="方正小标宋简体"/>
          <w:b/>
          <w:spacing w:val="200"/>
          <w:sz w:val="52"/>
          <w:szCs w:val="52"/>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86360</wp:posOffset>
                </wp:positionV>
                <wp:extent cx="566737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67375" cy="0"/>
                        </a:xfrm>
                        <a:prstGeom prst="line">
                          <a:avLst/>
                        </a:prstGeom>
                        <a:ln w="127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6.8pt;height:0pt;width:446.25pt;mso-position-horizontal:center;z-index:251658240;mso-width-relative:page;mso-height-relative:page;" filled="f" stroked="t" coordsize="21600,21600" o:gfxdata="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xVasXNUAAAAGAQAADwAAAAAA&#10;AAABACAAAAAiAAAAZHJzL2Rvd25yZXYueG1sUEsBAhQAFAAAAAgAh07iQKD9wJXdAQAAlwMAAA4A&#10;AAAAAAAAAQAgAAAAJAEAAGRycy9lMm9Eb2MueG1sUEsFBgAAAAAGAAYAWQEAAHMFAAAAAA==&#10;">
                <v:fill on="f" focussize="0,0"/>
                <v:stroke weight="1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right"/>
        <w:textAlignment w:val="baseline"/>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粤妇函〔2019〕104号</w:t>
      </w:r>
    </w:p>
    <w:p>
      <w:pPr>
        <w:wordWrap w:val="0"/>
        <w:jc w:val="right"/>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u w:val="none"/>
          <w:lang w:val="en-US" w:eastAsia="zh-CN"/>
        </w:rPr>
        <w:t xml:space="preserve">   A </w:t>
      </w:r>
      <w:r>
        <w:rPr>
          <w:rFonts w:hint="eastAsia" w:ascii="仿宋_GB2312" w:hAnsi="仿宋_GB2312" w:eastAsia="仿宋_GB2312" w:cs="仿宋_GB2312"/>
          <w:b w:val="0"/>
          <w:bCs w:val="0"/>
          <w:sz w:val="32"/>
          <w:szCs w:val="32"/>
          <w:lang w:val="en-US" w:eastAsia="zh-CN"/>
        </w:rPr>
        <w:t xml:space="preserve">类     </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广东省妇联</w:t>
      </w:r>
      <w:r>
        <w:rPr>
          <w:rFonts w:hint="eastAsia" w:ascii="方正小标宋简体" w:hAnsi="方正小标宋简体" w:eastAsia="方正小标宋简体" w:cs="方正小标宋简体"/>
          <w:b w:val="0"/>
          <w:bCs w:val="0"/>
          <w:sz w:val="44"/>
          <w:szCs w:val="44"/>
          <w:lang w:eastAsia="zh-CN"/>
        </w:rPr>
        <w:t>关于</w:t>
      </w:r>
      <w:r>
        <w:rPr>
          <w:rFonts w:hint="eastAsia" w:ascii="方正小标宋简体" w:hAnsi="方正小标宋简体" w:eastAsia="方正小标宋简体" w:cs="方正小标宋简体"/>
          <w:b w:val="0"/>
          <w:bCs w:val="0"/>
          <w:sz w:val="44"/>
          <w:szCs w:val="44"/>
          <w:lang w:val="en-US" w:eastAsia="zh-CN"/>
        </w:rPr>
        <w:t>省政协十二届二次会议</w:t>
      </w:r>
    </w:p>
    <w:p>
      <w:pPr>
        <w:keepNext w:val="0"/>
        <w:keepLines w:val="0"/>
        <w:pageBreakBefore w:val="0"/>
        <w:widowControl w:val="0"/>
        <w:kinsoku/>
        <w:wordWrap/>
        <w:overflowPunct/>
        <w:topLinePunct w:val="0"/>
        <w:autoSpaceDE/>
        <w:autoSpaceDN/>
        <w:bidi w:val="0"/>
        <w:adjustRightInd w:val="0"/>
        <w:snapToGrid w:val="0"/>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第20190712号提案答复的函</w:t>
      </w:r>
    </w:p>
    <w:p>
      <w:pPr>
        <w:keepNext w:val="0"/>
        <w:keepLines w:val="0"/>
        <w:pageBreakBefore w:val="0"/>
        <w:widowControl w:val="0"/>
        <w:kinsoku/>
        <w:wordWrap/>
        <w:overflowPunct/>
        <w:topLinePunct w:val="0"/>
        <w:autoSpaceDE/>
        <w:autoSpaceDN/>
        <w:bidi w:val="0"/>
        <w:adjustRightInd w:val="0"/>
        <w:snapToGrid w:val="0"/>
        <w:spacing w:line="700" w:lineRule="exact"/>
        <w:ind w:left="0" w:leftChars="0" w:right="0" w:rightChars="0" w:firstLine="0" w:firstLineChars="0"/>
        <w:textAlignment w:val="auto"/>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陈奇春、陈澄民委员：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你们提出的</w:t>
      </w:r>
      <w:r>
        <w:rPr>
          <w:rFonts w:hint="eastAsia" w:ascii="仿宋_GB2312" w:hAnsi="仿宋_GB2312" w:eastAsia="仿宋_GB2312" w:cs="仿宋_GB2312"/>
          <w:color w:val="000000"/>
          <w:sz w:val="32"/>
          <w:szCs w:val="32"/>
          <w:lang w:val="en-US" w:eastAsia="zh-CN"/>
        </w:rPr>
        <w:t>《关于加强我省家庭教育工作的提案》（</w:t>
      </w:r>
      <w:r>
        <w:rPr>
          <w:rFonts w:hint="eastAsia" w:ascii="仿宋_GB2312" w:hAnsi="仿宋_GB2312" w:eastAsia="仿宋_GB2312" w:cs="仿宋_GB2312"/>
          <w:sz w:val="32"/>
          <w:szCs w:val="32"/>
          <w:lang w:val="en-US" w:eastAsia="zh-CN"/>
        </w:rPr>
        <w:t>第20190712号</w:t>
      </w:r>
      <w:r>
        <w:rPr>
          <w:rFonts w:hint="eastAsia" w:ascii="仿宋_GB2312" w:hAnsi="仿宋_GB2312" w:eastAsia="仿宋_GB2312" w:cs="仿宋_GB2312"/>
          <w:color w:val="000000"/>
          <w:sz w:val="32"/>
          <w:szCs w:val="32"/>
          <w:lang w:val="en-US" w:eastAsia="zh-CN"/>
        </w:rPr>
        <w:t>）提案</w:t>
      </w:r>
      <w:r>
        <w:rPr>
          <w:rFonts w:hint="eastAsia" w:ascii="仿宋_GB2312" w:hAnsi="仿宋_GB2312" w:eastAsia="仿宋_GB2312" w:cs="仿宋_GB2312"/>
          <w:sz w:val="32"/>
          <w:szCs w:val="32"/>
          <w:lang w:val="en-US" w:eastAsia="zh-CN"/>
        </w:rPr>
        <w:t>收悉。经综合省教育厅和省财政厅意见，现将办理有关情况答复如下：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lang w:val="en-US" w:eastAsia="zh-CN"/>
        </w:rPr>
        <w:t>近年来，我省认真</w:t>
      </w:r>
      <w:r>
        <w:rPr>
          <w:rFonts w:hint="eastAsia" w:ascii="仿宋_GB2312" w:hAnsi="仿宋_GB2312" w:eastAsia="仿宋_GB2312" w:cs="仿宋_GB2312"/>
          <w:color w:val="000000"/>
          <w:sz w:val="32"/>
          <w:szCs w:val="32"/>
        </w:rPr>
        <w:t>贯彻</w:t>
      </w:r>
      <w:r>
        <w:rPr>
          <w:rFonts w:hint="eastAsia" w:ascii="仿宋_GB2312" w:hAnsi="仿宋_GB2312" w:eastAsia="仿宋_GB2312" w:cs="仿宋_GB2312"/>
          <w:color w:val="000000"/>
          <w:sz w:val="32"/>
          <w:szCs w:val="32"/>
          <w:lang w:val="en-US" w:eastAsia="zh-CN"/>
        </w:rPr>
        <w:t>落实</w:t>
      </w:r>
      <w:r>
        <w:rPr>
          <w:rFonts w:hint="eastAsia" w:ascii="仿宋_GB2312" w:hAnsi="仿宋_GB2312" w:eastAsia="仿宋_GB2312" w:cs="仿宋_GB2312"/>
          <w:color w:val="000000"/>
          <w:sz w:val="32"/>
          <w:szCs w:val="32"/>
        </w:rPr>
        <w:t>习近平总书记关于注重家庭教育的系列重要论述精神，</w:t>
      </w:r>
      <w:r>
        <w:rPr>
          <w:rFonts w:hint="eastAsia" w:ascii="仿宋_GB2312" w:hAnsi="仿宋_GB2312" w:eastAsia="仿宋_GB2312" w:cs="仿宋_GB2312"/>
          <w:snapToGrid w:val="0"/>
          <w:color w:val="auto"/>
          <w:kern w:val="0"/>
          <w:sz w:val="32"/>
          <w:szCs w:val="32"/>
          <w:highlight w:val="none"/>
          <w:lang w:val="en-US" w:eastAsia="zh-CN"/>
        </w:rPr>
        <w:t>围绕推动全国和我省家庭教育五年规划（2016-2020年）实施，扎实推进家庭教育服务工作。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kern w:val="0"/>
          <w:sz w:val="32"/>
          <w:szCs w:val="32"/>
          <w:highlight w:val="none"/>
          <w:lang w:val="en-US" w:eastAsia="zh-CN"/>
        </w:rPr>
      </w:pPr>
      <w:r>
        <w:rPr>
          <w:rFonts w:hint="eastAsia" w:ascii="黑体" w:hAnsi="黑体" w:eastAsia="黑体" w:cs="黑体"/>
          <w:b w:val="0"/>
          <w:bCs/>
          <w:color w:val="auto"/>
          <w:kern w:val="0"/>
          <w:sz w:val="32"/>
          <w:szCs w:val="32"/>
          <w:lang w:val="en-US" w:eastAsia="zh-CN"/>
        </w:rPr>
        <w:t>一、加强家庭教育顶层设计</w:t>
      </w:r>
      <w:r>
        <w:rPr>
          <w:rFonts w:hint="eastAsia" w:ascii="黑体" w:hAnsi="黑体" w:eastAsia="黑体" w:cs="黑体"/>
          <w:snapToGrid w:val="0"/>
          <w:color w:val="auto"/>
          <w:kern w:val="0"/>
          <w:sz w:val="32"/>
          <w:szCs w:val="32"/>
          <w:highlight w:val="none"/>
          <w:lang w:val="en-US" w:eastAsia="zh-CN"/>
        </w:rPr>
        <w:t>。</w:t>
      </w:r>
      <w:r>
        <w:rPr>
          <w:rFonts w:hint="eastAsia" w:ascii="仿宋_GB2312" w:hAnsi="仿宋_GB2312" w:eastAsia="仿宋_GB2312" w:cs="仿宋_GB2312"/>
          <w:snapToGrid w:val="0"/>
          <w:color w:val="auto"/>
          <w:kern w:val="0"/>
          <w:sz w:val="32"/>
          <w:szCs w:val="32"/>
          <w:highlight w:val="none"/>
          <w:lang w:val="en-US" w:eastAsia="zh-CN"/>
        </w:rPr>
        <w:t>认真贯彻全国妇联、教育部等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ascii="仿宋_GB2312" w:hAnsi="-webkit-standard" w:eastAsia="仿宋_GB2312" w:cs="宋体"/>
          <w:color w:val="auto"/>
          <w:kern w:val="0"/>
          <w:sz w:val="32"/>
          <w:szCs w:val="32"/>
        </w:rPr>
      </w:pPr>
      <w:r>
        <w:rPr>
          <w:rFonts w:hint="eastAsia" w:ascii="仿宋_GB2312" w:hAnsi="仿宋_GB2312" w:eastAsia="仿宋_GB2312" w:cs="仿宋_GB2312"/>
          <w:snapToGrid w:val="0"/>
          <w:color w:val="auto"/>
          <w:kern w:val="0"/>
          <w:sz w:val="32"/>
          <w:szCs w:val="32"/>
          <w:highlight w:val="none"/>
          <w:lang w:val="en-US" w:eastAsia="zh-CN"/>
        </w:rPr>
        <w:t>七部委颁布的《全国家庭教育指导大纲》，教育部印发的《关于加强家庭教育工作的指导意见》、《关于建立中小学幼儿园家长委员会的指导意见》、《中小学德育工作指南》等文件精神，要求幼儿园、中小学校、中等职业学校把家长学校纳入学校工作总体部署，将“建立学校、家庭、社会三结合教育网络”作为一项指标，列入等级学校评估方案和教育强镇、教育强区、教育强市评估方案，明确教育行政部门及学校在强化工作职责、发挥家长委员会作用、办好家长学校、加强队伍建设等方面的任务要求。教育部2017年出台的《中小学德育工作指南》，再次明确将家庭教育纳入学校德育工作体系。</w:t>
      </w:r>
      <w:r>
        <w:rPr>
          <w:rFonts w:hint="eastAsia" w:ascii="仿宋_GB2312" w:hAnsi="-webkit-standard" w:eastAsia="仿宋_GB2312" w:cs="宋体"/>
          <w:color w:val="auto"/>
          <w:kern w:val="0"/>
          <w:sz w:val="32"/>
          <w:szCs w:val="32"/>
        </w:rPr>
        <w:t>省妇联、省文明办、省教育厅联合出台《广东省关于加强家长学校建设的指导意见》（粤妇字〔2014〕12号），要求到2020年，全省中小学、幼儿园100%设立家长学校，90%的城市社区和80%的行政村设立家长学校或家庭教育指导服务点，卫生计生服务机构婚育学校、孕妇学校和育儿学校100%开设家庭教育指导课程，机关企事业单位按需设立家长学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ascii="-webkit-standard" w:hAnsi="-webkit-standard" w:cs="宋体"/>
          <w:color w:val="auto"/>
          <w:kern w:val="0"/>
          <w:sz w:val="32"/>
          <w:szCs w:val="32"/>
        </w:rPr>
      </w:pP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lang w:val="en-US" w:eastAsia="zh-CN"/>
        </w:rPr>
        <w:t>完善家庭教育工作机制</w:t>
      </w:r>
      <w:r>
        <w:rPr>
          <w:rFonts w:hint="eastAsia" w:ascii="黑体" w:hAnsi="黑体" w:eastAsia="黑体" w:cs="黑体"/>
          <w:snapToGrid w:val="0"/>
          <w:color w:val="auto"/>
          <w:kern w:val="0"/>
          <w:sz w:val="32"/>
          <w:szCs w:val="32"/>
          <w:highlight w:val="none"/>
          <w:lang w:val="en-US" w:eastAsia="zh-CN"/>
        </w:rPr>
        <w:t>。</w:t>
      </w:r>
      <w:r>
        <w:rPr>
          <w:rFonts w:hint="eastAsia" w:ascii="仿宋_GB2312" w:hAnsi="-webkit-standard" w:eastAsia="仿宋_GB2312" w:cs="宋体"/>
          <w:color w:val="auto"/>
          <w:kern w:val="0"/>
          <w:sz w:val="32"/>
          <w:szCs w:val="32"/>
        </w:rPr>
        <w:t>“十二五”期间，我省各级家庭教育相关部门进一步按照加强和创新社会管理的要求，完善党政领导、妇联</w:t>
      </w:r>
      <w:r>
        <w:rPr>
          <w:rFonts w:hint="eastAsia" w:ascii="仿宋_GB2312" w:hAnsi="-webkit-standard" w:eastAsia="仿宋_GB2312" w:cs="宋体"/>
          <w:color w:val="auto"/>
          <w:kern w:val="0"/>
          <w:sz w:val="32"/>
          <w:szCs w:val="32"/>
          <w:lang w:eastAsia="zh-CN"/>
        </w:rPr>
        <w:t>和</w:t>
      </w:r>
      <w:r>
        <w:rPr>
          <w:rFonts w:hint="eastAsia" w:ascii="仿宋_GB2312" w:hAnsi="-webkit-standard" w:eastAsia="仿宋_GB2312" w:cs="宋体"/>
          <w:color w:val="auto"/>
          <w:kern w:val="0"/>
          <w:sz w:val="32"/>
          <w:szCs w:val="32"/>
        </w:rPr>
        <w:t>教育部门</w:t>
      </w:r>
      <w:r>
        <w:rPr>
          <w:rFonts w:hint="eastAsia" w:ascii="仿宋_GB2312" w:hAnsi="-webkit-standard" w:eastAsia="仿宋_GB2312" w:cs="宋体"/>
          <w:color w:val="auto"/>
          <w:kern w:val="0"/>
          <w:sz w:val="32"/>
          <w:szCs w:val="32"/>
          <w:lang w:eastAsia="zh-CN"/>
        </w:rPr>
        <w:t>牵头</w:t>
      </w:r>
      <w:r>
        <w:rPr>
          <w:rFonts w:hint="eastAsia" w:ascii="仿宋_GB2312" w:hAnsi="-webkit-standard" w:eastAsia="仿宋_GB2312" w:cs="宋体"/>
          <w:color w:val="auto"/>
          <w:kern w:val="0"/>
          <w:sz w:val="32"/>
          <w:szCs w:val="32"/>
        </w:rPr>
        <w:t>协调、多部门合作、社会力量参与的家庭教育工作格局，成立家庭教育领导小组，加强工作统筹与协调。加大投入，争取经费保障，将家庭教育指导服务纳入城乡公共服务体系</w:t>
      </w:r>
      <w:r>
        <w:rPr>
          <w:rFonts w:hint="eastAsia" w:ascii="仿宋_GB2312" w:hAnsi="-webkit-standard" w:eastAsia="仿宋_GB2312" w:cs="宋体"/>
          <w:color w:val="auto"/>
          <w:kern w:val="0"/>
          <w:sz w:val="32"/>
          <w:szCs w:val="32"/>
          <w:lang w:eastAsia="zh-CN"/>
        </w:rPr>
        <w:t>，</w:t>
      </w:r>
      <w:r>
        <w:rPr>
          <w:rFonts w:hint="eastAsia" w:ascii="仿宋_GB2312" w:hAnsi="-webkit-standard" w:eastAsia="仿宋_GB2312" w:cs="宋体"/>
          <w:color w:val="auto"/>
          <w:kern w:val="0"/>
          <w:sz w:val="32"/>
          <w:szCs w:val="32"/>
        </w:rPr>
        <w:t>将家庭教育工作纳入各级未成年人思想道德建设测评体系和精神文明创建内容，开展各级各类家庭教育工作示范创建活动，总结推广家庭、学校、社会三位一体的教育模式和创新经验，形成良性发展的有效机制。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w w:val="100"/>
          <w:kern w:val="0"/>
          <w:sz w:val="32"/>
          <w:szCs w:val="32"/>
          <w:highlight w:val="none"/>
          <w:lang w:val="en-US" w:eastAsia="zh-CN"/>
        </w:rPr>
      </w:pPr>
      <w:r>
        <w:rPr>
          <w:rFonts w:hint="eastAsia" w:ascii="仿宋_GB2312" w:hAnsi="仿宋_GB2312" w:eastAsia="仿宋_GB2312" w:cs="仿宋_GB2312"/>
          <w:b w:val="0"/>
          <w:bCs w:val="0"/>
          <w:snapToGrid w:val="0"/>
          <w:color w:val="auto"/>
          <w:kern w:val="0"/>
          <w:sz w:val="32"/>
          <w:szCs w:val="32"/>
          <w:highlight w:val="none"/>
          <w:lang w:val="en-US" w:eastAsia="zh-CN"/>
        </w:rPr>
        <w:t>结合实施家教“十三五”规划，推动各地积极编制家教规划或实施意见，健全家庭教育领导协调、指导与评估机制，基本形成党政主导、妇联教育部门牵头协调、民政等多部门合作、社会力量广泛参与的工作格局。推动家庭教育工作纳入各地创文评价体系，完善考核评估机制。培育发展社会组织和志愿者参与家庭教育工作，积极承接公共服务项目，完善社会协同参与机制。省妇联</w:t>
      </w:r>
      <w:r>
        <w:rPr>
          <w:rFonts w:hint="eastAsia" w:ascii="仿宋_GB2312" w:hAnsi="仿宋_GB2312" w:eastAsia="仿宋_GB2312" w:cs="仿宋_GB2312"/>
          <w:bCs/>
          <w:sz w:val="32"/>
          <w:szCs w:val="32"/>
          <w:highlight w:val="none"/>
          <w:lang w:eastAsia="zh-CN"/>
        </w:rPr>
        <w:t>启动家庭教育立法调研</w:t>
      </w: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snapToGrid w:val="0"/>
          <w:color w:val="auto"/>
          <w:kern w:val="0"/>
          <w:sz w:val="32"/>
          <w:szCs w:val="32"/>
          <w:highlight w:val="none"/>
          <w:lang w:val="en-US" w:eastAsia="zh-CN"/>
        </w:rPr>
        <w:t>形成《广东省家庭教育促进条例》草案建议稿和条例注释稿，积极</w:t>
      </w:r>
      <w:r>
        <w:rPr>
          <w:rFonts w:hint="eastAsia" w:ascii="仿宋_GB2312" w:hAnsi="仿宋_GB2312" w:eastAsia="仿宋_GB2312" w:cs="仿宋_GB2312"/>
          <w:b w:val="0"/>
          <w:bCs w:val="0"/>
          <w:snapToGrid w:val="0"/>
          <w:color w:val="auto"/>
          <w:kern w:val="0"/>
          <w:sz w:val="32"/>
          <w:szCs w:val="32"/>
          <w:highlight w:val="none"/>
          <w:lang w:val="en-US" w:eastAsia="zh-CN"/>
        </w:rPr>
        <w:t>推进我省家教立法进程</w:t>
      </w:r>
      <w:r>
        <w:rPr>
          <w:rFonts w:hint="eastAsia" w:ascii="仿宋_GB2312" w:hAnsi="仿宋_GB2312" w:eastAsia="仿宋_GB2312" w:cs="仿宋_GB2312"/>
          <w:b w:val="0"/>
          <w:bCs w:val="0"/>
          <w:color w:val="auto"/>
          <w:spacing w:val="0"/>
          <w:w w:val="100"/>
          <w:kern w:val="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napToGrid w:val="0"/>
          <w:color w:val="auto"/>
          <w:kern w:val="0"/>
          <w:sz w:val="32"/>
          <w:szCs w:val="32"/>
          <w:highlight w:val="none"/>
          <w:lang w:val="en-US" w:eastAsia="zh-CN"/>
        </w:rPr>
      </w:pPr>
      <w:r>
        <w:rPr>
          <w:rFonts w:hint="eastAsia" w:ascii="黑体" w:hAnsi="黑体" w:eastAsia="黑体" w:cs="黑体"/>
          <w:b w:val="0"/>
          <w:bCs w:val="0"/>
          <w:snapToGrid w:val="0"/>
          <w:color w:val="auto"/>
          <w:kern w:val="0"/>
          <w:sz w:val="32"/>
          <w:szCs w:val="32"/>
          <w:highlight w:val="none"/>
          <w:lang w:val="en-US" w:eastAsia="zh-CN"/>
        </w:rPr>
        <w:t>三、多渠道凝聚家庭教育合力。</w:t>
      </w:r>
      <w:r>
        <w:rPr>
          <w:rFonts w:hint="eastAsia" w:ascii="仿宋_GB2312" w:hAnsi="仿宋_GB2312" w:eastAsia="仿宋_GB2312" w:cs="仿宋_GB2312"/>
          <w:b w:val="0"/>
          <w:bCs w:val="0"/>
          <w:snapToGrid w:val="0"/>
          <w:color w:val="auto"/>
          <w:kern w:val="0"/>
          <w:sz w:val="32"/>
          <w:szCs w:val="32"/>
          <w:highlight w:val="none"/>
          <w:lang w:val="en-US" w:eastAsia="zh-CN"/>
        </w:rPr>
        <w:t>将家教讲师队伍扩大到学校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ascii="仿宋_GB2312" w:hAnsi="仿宋_GB2312" w:eastAsia="仿宋_GB2312" w:cs="仿宋_GB2312"/>
          <w:snapToGrid w:val="0"/>
          <w:color w:val="auto"/>
          <w:kern w:val="0"/>
          <w:sz w:val="32"/>
          <w:szCs w:val="32"/>
          <w:highlight w:val="none"/>
          <w:lang w:val="en-US" w:eastAsia="zh-CN"/>
        </w:rPr>
      </w:pPr>
      <w:r>
        <w:rPr>
          <w:rFonts w:hint="eastAsia" w:ascii="仿宋_GB2312" w:hAnsi="仿宋_GB2312" w:eastAsia="仿宋_GB2312" w:cs="仿宋_GB2312"/>
          <w:b w:val="0"/>
          <w:bCs w:val="0"/>
          <w:snapToGrid w:val="0"/>
          <w:color w:val="auto"/>
          <w:kern w:val="0"/>
          <w:sz w:val="32"/>
          <w:szCs w:val="32"/>
          <w:highlight w:val="none"/>
          <w:lang w:val="en-US" w:eastAsia="zh-CN"/>
        </w:rPr>
        <w:t>名班主任、德育和心理教师，围绕理论知识学习、公开示范课、家庭教育课程设计等内容，大力</w:t>
      </w:r>
      <w:r>
        <w:rPr>
          <w:rFonts w:hint="eastAsia" w:ascii="仿宋_GB2312" w:hAnsi="仿宋_GB2312" w:eastAsia="仿宋_GB2312" w:cs="仿宋_GB2312"/>
          <w:snapToGrid w:val="0"/>
          <w:color w:val="auto"/>
          <w:kern w:val="0"/>
          <w:sz w:val="32"/>
          <w:szCs w:val="32"/>
          <w:highlight w:val="none"/>
          <w:lang w:val="en-US" w:eastAsia="zh-CN"/>
        </w:rPr>
        <w:t>开展家庭教育骨干培训。目前，</w:t>
      </w:r>
      <w:r>
        <w:rPr>
          <w:rFonts w:hint="eastAsia" w:ascii="仿宋_GB2312" w:hAnsi="仿宋_GB2312" w:eastAsia="仿宋_GB2312" w:cs="仿宋_GB2312"/>
          <w:b w:val="0"/>
          <w:bCs w:val="0"/>
          <w:snapToGrid w:val="0"/>
          <w:color w:val="auto"/>
          <w:spacing w:val="0"/>
          <w:w w:val="100"/>
          <w:kern w:val="0"/>
          <w:sz w:val="32"/>
          <w:szCs w:val="32"/>
          <w:highlight w:val="none"/>
          <w:u w:val="none" w:color="auto"/>
          <w:lang w:val="en-US" w:eastAsia="zh-CN"/>
        </w:rPr>
        <w:t>全省建有家教讲师团809个，成员1.17万名；各级各类家长学校31808所，2018年年共培训家长556.8万人次。</w:t>
      </w:r>
      <w:r>
        <w:rPr>
          <w:rFonts w:hint="eastAsia" w:ascii="仿宋_GB2312" w:hAnsi="仿宋_GB2312" w:eastAsia="仿宋_GB2312" w:cs="仿宋_GB2312"/>
          <w:snapToGrid w:val="0"/>
          <w:color w:val="auto"/>
          <w:kern w:val="0"/>
          <w:sz w:val="32"/>
          <w:szCs w:val="32"/>
          <w:highlight w:val="none"/>
          <w:lang w:val="en-US" w:eastAsia="zh-CN"/>
        </w:rPr>
        <w:t>组织家庭教育优秀课件评选，推动评选结果转化使用，为满足城乡普惠型家庭教育公共服务提供教学资源支撑。发挥各类家庭教育社会组织专业特长，搭建资源融合平台，开展“人生第一课”“爸爸来啦”等项目化家教指导服务。引入专业机构，整合家长学校和社区教育资源，调动教师、社工、心理专家及优秀家长的积极性，建立社区家长成长中心，把工作对象转化为工作力量。</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rPr>
          <w:rFonts w:hint="eastAsia" w:ascii="仿宋_GB2312" w:eastAsia="仿宋_GB2312"/>
          <w:sz w:val="32"/>
          <w:szCs w:val="32"/>
          <w:highlight w:val="none"/>
        </w:rPr>
      </w:pPr>
      <w:r>
        <w:rPr>
          <w:rFonts w:hint="eastAsia" w:ascii="仿宋_GB2312" w:hAnsi="仿宋_GB2312" w:eastAsia="仿宋_GB2312" w:cs="仿宋_GB2312"/>
          <w:b w:val="0"/>
          <w:bCs w:val="0"/>
          <w:snapToGrid w:val="0"/>
          <w:color w:val="auto"/>
          <w:kern w:val="0"/>
          <w:sz w:val="32"/>
          <w:szCs w:val="32"/>
          <w:highlight w:val="none"/>
          <w:lang w:val="en-US" w:eastAsia="zh-CN"/>
        </w:rPr>
        <w:t>充分发挥各级妇联组织、教育部门和学校在家庭教育中的重要作用，</w:t>
      </w:r>
      <w:r>
        <w:rPr>
          <w:rFonts w:hint="eastAsia" w:ascii="仿宋_GB2312" w:hAnsi="仿宋_GB2312" w:eastAsia="仿宋_GB2312" w:cs="仿宋_GB2312"/>
          <w:snapToGrid w:val="0"/>
          <w:color w:val="auto"/>
          <w:kern w:val="0"/>
          <w:sz w:val="32"/>
          <w:szCs w:val="32"/>
          <w:highlight w:val="none"/>
          <w:lang w:val="en-US" w:eastAsia="zh-CN"/>
        </w:rPr>
        <w:t>开展家庭教育“六进”（进村居、进机关、进学校、进家庭、进企业、进网络）活动，将先进家庭教育理念送到群众“家门口”。开展窗口式专业服务，汕头、佛山等市以“妇工+社工+志愿者”为主体，接待群众来访、来电等咨询求助，提供家庭教育心理辅导。探索推进</w:t>
      </w:r>
      <w:r>
        <w:rPr>
          <w:rFonts w:hint="eastAsia" w:ascii="仿宋_GB2312" w:eastAsia="仿宋_GB2312"/>
          <w:sz w:val="32"/>
          <w:szCs w:val="32"/>
          <w:highlight w:val="none"/>
          <w:lang w:eastAsia="zh-CN"/>
        </w:rPr>
        <w:t>全媒体</w:t>
      </w:r>
      <w:r>
        <w:rPr>
          <w:rFonts w:hint="eastAsia" w:ascii="仿宋_GB2312" w:eastAsia="仿宋_GB2312"/>
          <w:sz w:val="32"/>
          <w:szCs w:val="32"/>
          <w:highlight w:val="none"/>
        </w:rPr>
        <w:t>+家庭教育</w:t>
      </w:r>
      <w:r>
        <w:rPr>
          <w:rFonts w:hint="eastAsia" w:ascii="仿宋_GB2312" w:eastAsia="仿宋_GB2312"/>
          <w:sz w:val="32"/>
          <w:szCs w:val="32"/>
          <w:highlight w:val="none"/>
          <w:lang w:eastAsia="zh-CN"/>
        </w:rPr>
        <w:t>的服务方式</w:t>
      </w:r>
      <w:r>
        <w:rPr>
          <w:rFonts w:hint="eastAsia" w:ascii="仿宋_GB2312" w:eastAsia="仿宋_GB2312"/>
          <w:sz w:val="32"/>
          <w:szCs w:val="32"/>
          <w:highlight w:val="none"/>
        </w:rPr>
        <w:t>，</w:t>
      </w:r>
      <w:r>
        <w:rPr>
          <w:rFonts w:hint="eastAsia" w:ascii="仿宋_GB2312" w:hAnsi="仿宋_GB2312" w:eastAsia="仿宋_GB2312" w:cs="仿宋_GB2312"/>
          <w:snapToGrid w:val="0"/>
          <w:color w:val="auto"/>
          <w:kern w:val="0"/>
          <w:sz w:val="32"/>
          <w:szCs w:val="32"/>
          <w:highlight w:val="none"/>
          <w:lang w:val="en-US" w:eastAsia="zh-CN"/>
        </w:rPr>
        <w:t>借力广播电视、党员远程教育平台，公交移动电视，</w:t>
      </w:r>
      <w:r>
        <w:rPr>
          <w:rFonts w:hint="eastAsia" w:ascii="仿宋_GB2312" w:eastAsia="仿宋_GB2312"/>
          <w:sz w:val="32"/>
          <w:szCs w:val="32"/>
          <w:highlight w:val="none"/>
          <w:lang w:eastAsia="zh-CN"/>
        </w:rPr>
        <w:t>以及</w:t>
      </w:r>
      <w:r>
        <w:rPr>
          <w:rFonts w:hint="eastAsia" w:ascii="仿宋_GB2312" w:eastAsia="仿宋_GB2312"/>
          <w:sz w:val="32"/>
          <w:szCs w:val="32"/>
          <w:highlight w:val="none"/>
        </w:rPr>
        <w:t>微信公众号、网站等</w:t>
      </w:r>
      <w:r>
        <w:rPr>
          <w:rFonts w:hint="eastAsia" w:ascii="仿宋_GB2312" w:eastAsia="仿宋_GB2312"/>
          <w:sz w:val="32"/>
          <w:szCs w:val="32"/>
          <w:highlight w:val="none"/>
          <w:lang w:eastAsia="zh-CN"/>
        </w:rPr>
        <w:t>，开设家教专栏、父母学堂，微课堂，推送家庭教育科普文章，提供视频教学和</w:t>
      </w:r>
      <w:r>
        <w:rPr>
          <w:rFonts w:hint="eastAsia" w:ascii="仿宋_GB2312" w:eastAsia="仿宋_GB2312"/>
          <w:sz w:val="32"/>
          <w:szCs w:val="32"/>
          <w:highlight w:val="none"/>
          <w:lang w:val="en-US" w:eastAsia="zh-CN"/>
        </w:rPr>
        <w:t>Q群咨询，安排专家在线解答，</w:t>
      </w:r>
      <w:r>
        <w:rPr>
          <w:rFonts w:hint="eastAsia" w:ascii="仿宋_GB2312" w:eastAsia="仿宋_GB2312"/>
          <w:sz w:val="32"/>
          <w:szCs w:val="32"/>
          <w:highlight w:val="none"/>
          <w:lang w:eastAsia="zh-CN"/>
        </w:rPr>
        <w:t>用群众喜闻乐见的方式</w:t>
      </w:r>
      <w:r>
        <w:rPr>
          <w:rFonts w:hint="eastAsia" w:ascii="仿宋_GB2312" w:eastAsia="仿宋_GB2312"/>
          <w:sz w:val="32"/>
          <w:szCs w:val="32"/>
          <w:highlight w:val="none"/>
        </w:rPr>
        <w:t>传播</w:t>
      </w:r>
      <w:r>
        <w:rPr>
          <w:rFonts w:hint="eastAsia" w:ascii="仿宋_GB2312" w:eastAsia="仿宋_GB2312"/>
          <w:sz w:val="32"/>
          <w:szCs w:val="32"/>
          <w:highlight w:val="none"/>
          <w:lang w:eastAsia="zh-CN"/>
        </w:rPr>
        <w:t>科学</w:t>
      </w:r>
      <w:r>
        <w:rPr>
          <w:rFonts w:hint="eastAsia" w:ascii="仿宋_GB2312" w:eastAsia="仿宋_GB2312"/>
          <w:sz w:val="32"/>
          <w:szCs w:val="32"/>
          <w:highlight w:val="none"/>
        </w:rPr>
        <w:t>家</w:t>
      </w:r>
      <w:r>
        <w:rPr>
          <w:rFonts w:hint="eastAsia" w:ascii="仿宋_GB2312" w:eastAsia="仿宋_GB2312"/>
          <w:sz w:val="32"/>
          <w:szCs w:val="32"/>
          <w:highlight w:val="none"/>
          <w:lang w:eastAsia="zh-CN"/>
        </w:rPr>
        <w:t>庭</w:t>
      </w:r>
      <w:r>
        <w:rPr>
          <w:rFonts w:hint="eastAsia" w:ascii="仿宋_GB2312" w:eastAsia="仿宋_GB2312"/>
          <w:sz w:val="32"/>
          <w:szCs w:val="32"/>
          <w:highlight w:val="none"/>
        </w:rPr>
        <w:t>教</w:t>
      </w:r>
      <w:r>
        <w:rPr>
          <w:rFonts w:hint="eastAsia" w:ascii="仿宋_GB2312" w:eastAsia="仿宋_GB2312"/>
          <w:sz w:val="32"/>
          <w:szCs w:val="32"/>
          <w:highlight w:val="none"/>
          <w:lang w:eastAsia="zh-CN"/>
        </w:rPr>
        <w:t>育</w:t>
      </w:r>
      <w:r>
        <w:rPr>
          <w:rFonts w:hint="eastAsia" w:ascii="仿宋_GB2312" w:eastAsia="仿宋_GB2312"/>
          <w:sz w:val="32"/>
          <w:szCs w:val="32"/>
          <w:highlight w:val="none"/>
        </w:rPr>
        <w:t>知识</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编</w:t>
      </w:r>
      <w:r>
        <w:rPr>
          <w:rFonts w:hint="eastAsia" w:ascii="仿宋_GB2312" w:eastAsia="仿宋_GB2312"/>
          <w:sz w:val="32"/>
          <w:szCs w:val="32"/>
          <w:highlight w:val="none"/>
          <w:lang w:eastAsia="zh-CN"/>
        </w:rPr>
        <w:t>辑</w:t>
      </w:r>
      <w:r>
        <w:rPr>
          <w:rFonts w:hint="eastAsia" w:ascii="仿宋_GB2312" w:eastAsia="仿宋_GB2312"/>
          <w:sz w:val="32"/>
          <w:szCs w:val="32"/>
          <w:highlight w:val="none"/>
        </w:rPr>
        <w:t>出版</w:t>
      </w:r>
      <w:r>
        <w:rPr>
          <w:rFonts w:hint="eastAsia" w:ascii="仿宋_GB2312" w:eastAsia="仿宋_GB2312"/>
          <w:sz w:val="32"/>
          <w:szCs w:val="32"/>
          <w:highlight w:val="none"/>
          <w:lang w:eastAsia="zh-CN"/>
        </w:rPr>
        <w:t>家庭教育指导手册、读本</w:t>
      </w:r>
      <w:r>
        <w:rPr>
          <w:rFonts w:hint="eastAsia" w:ascii="仿宋_GB2312" w:eastAsia="仿宋_GB2312"/>
          <w:sz w:val="32"/>
          <w:szCs w:val="32"/>
          <w:highlight w:val="none"/>
        </w:rPr>
        <w:t>等系列家庭教育书籍，</w:t>
      </w:r>
      <w:r>
        <w:rPr>
          <w:rFonts w:hint="eastAsia" w:ascii="仿宋_GB2312" w:eastAsia="仿宋_GB2312"/>
          <w:sz w:val="32"/>
          <w:szCs w:val="32"/>
          <w:highlight w:val="none"/>
          <w:lang w:eastAsia="zh-CN"/>
        </w:rPr>
        <w:t>推动</w:t>
      </w:r>
      <w:r>
        <w:rPr>
          <w:rFonts w:hint="eastAsia" w:ascii="仿宋_GB2312" w:eastAsia="仿宋_GB2312"/>
          <w:sz w:val="32"/>
          <w:szCs w:val="32"/>
          <w:highlight w:val="none"/>
        </w:rPr>
        <w:t>家</w:t>
      </w:r>
      <w:r>
        <w:rPr>
          <w:rFonts w:hint="eastAsia" w:ascii="仿宋_GB2312" w:eastAsia="仿宋_GB2312"/>
          <w:sz w:val="32"/>
          <w:szCs w:val="32"/>
          <w:highlight w:val="none"/>
          <w:lang w:eastAsia="zh-CN"/>
        </w:rPr>
        <w:t>庭教育指导理论系统化发展</w:t>
      </w:r>
      <w:r>
        <w:rPr>
          <w:rFonts w:hint="eastAsia" w:ascii="仿宋_GB2312" w:eastAsia="仿宋_GB2312"/>
          <w:sz w:val="32"/>
          <w:szCs w:val="32"/>
          <w:highlight w:val="none"/>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642"/>
        <w:jc w:val="both"/>
        <w:textAlignment w:val="auto"/>
        <w:rPr>
          <w:rFonts w:hint="eastAsia" w:ascii="黑体" w:hAnsi="黑体" w:eastAsia="黑体" w:cs="黑体"/>
          <w:b w:val="0"/>
          <w:bCs w:val="0"/>
          <w:snapToGrid w:val="0"/>
          <w:color w:val="auto"/>
          <w:kern w:val="0"/>
          <w:sz w:val="32"/>
          <w:szCs w:val="32"/>
          <w:highlight w:val="none"/>
          <w:lang w:val="en-US" w:eastAsia="zh-CN"/>
        </w:rPr>
      </w:pPr>
      <w:r>
        <w:rPr>
          <w:rFonts w:hint="eastAsia" w:ascii="仿宋_GB2312" w:hAnsi="仿宋_GB2312" w:eastAsia="仿宋_GB2312" w:cs="仿宋_GB2312"/>
          <w:b w:val="0"/>
          <w:bCs w:val="0"/>
          <w:snapToGrid w:val="0"/>
          <w:color w:val="auto"/>
          <w:kern w:val="0"/>
          <w:sz w:val="32"/>
          <w:szCs w:val="32"/>
          <w:highlight w:val="none"/>
          <w:lang w:val="en-US" w:eastAsia="zh-CN"/>
        </w:rPr>
        <w:t>依托家长委员会、家长学校等家校沟通，采取经验交流会、社会实践、亲子活动等形式开展家庭教育指导。发挥家长委员会自我教育的优势，利用各类媒介，向家长和监护人传递家庭教育知识，不断提升家庭教育水平。我省每年开展的中小学主题教育活动中，都设计了形式多样的亲子实践活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黑体" w:hAnsi="黑体" w:eastAsia="黑体" w:cs="黑体"/>
          <w:snapToGrid w:val="0"/>
          <w:color w:val="auto"/>
          <w:kern w:val="0"/>
          <w:sz w:val="32"/>
          <w:szCs w:val="32"/>
          <w:highlight w:val="none"/>
          <w:lang w:val="en-US" w:eastAsia="zh-CN"/>
        </w:rPr>
      </w:pPr>
      <w:r>
        <w:rPr>
          <w:rFonts w:hint="eastAsia" w:ascii="黑体" w:hAnsi="黑体" w:eastAsia="黑体" w:cs="黑体"/>
          <w:snapToGrid w:val="0"/>
          <w:color w:val="auto"/>
          <w:kern w:val="0"/>
          <w:sz w:val="32"/>
          <w:szCs w:val="32"/>
          <w:highlight w:val="none"/>
          <w:lang w:val="en-US" w:eastAsia="zh-CN"/>
        </w:rPr>
        <w:t>四、促进家庭教育专业化发展。</w:t>
      </w:r>
      <w:r>
        <w:rPr>
          <w:rFonts w:hint="eastAsia" w:ascii="仿宋_GB2312" w:hAnsi="仿宋_GB2312" w:eastAsia="仿宋_GB2312" w:cs="仿宋_GB2312"/>
          <w:snapToGrid w:val="0"/>
          <w:color w:val="auto"/>
          <w:kern w:val="0"/>
          <w:sz w:val="32"/>
          <w:szCs w:val="32"/>
          <w:highlight w:val="none"/>
          <w:lang w:val="en-US" w:eastAsia="zh-CN"/>
        </w:rPr>
        <w:t>在人才培养、学科与专业建设、课程设置、继续教育等方面积极鼓励和支持家庭教育专业化发展。我省共有华南师范大学等41所本科高校，开设了学前教育（16个）、心理学（9个）、应用心理学（20个）和社会工作（28个）等家庭教育相关专业点，并开设了诸如家庭教育学、家庭社会工作、学前家庭与社区教育等相关专业课程，专门培养家庭教育相关专业人才。指导各地构建家庭教育社区服务支持体系，推动建立街道、社区（村）家庭教育指导机构，将“注重向社区家长进行科学育儿和家庭教育的培训指导”作为《广东省社区教育实验区评分标准》的一项重要内容。目前，全省共有省级社区教育实验区104个，国家级社区教育示范区（实验区）15个。</w:t>
      </w:r>
    </w:p>
    <w:p>
      <w:pPr>
        <w:keepNext w:val="0"/>
        <w:keepLines w:val="0"/>
        <w:pageBreakBefore w:val="0"/>
        <w:widowControl w:val="0"/>
        <w:kinsoku/>
        <w:wordWrap/>
        <w:overflowPunct/>
        <w:topLinePunct w:val="0"/>
        <w:autoSpaceDE/>
        <w:autoSpaceDN/>
        <w:bidi w:val="0"/>
        <w:spacing w:line="560" w:lineRule="exact"/>
        <w:ind w:left="0" w:leftChars="0" w:right="0" w:rightChars="0" w:firstLine="642"/>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val="0"/>
          <w:snapToGrid w:val="0"/>
          <w:color w:val="auto"/>
          <w:kern w:val="0"/>
          <w:sz w:val="32"/>
          <w:szCs w:val="32"/>
          <w:highlight w:val="none"/>
          <w:lang w:val="en-US" w:eastAsia="zh-CN"/>
        </w:rPr>
        <w:t>五、</w:t>
      </w:r>
      <w:r>
        <w:rPr>
          <w:rFonts w:hint="eastAsia" w:ascii="黑体" w:hAnsi="黑体" w:eastAsia="黑体" w:cs="黑体"/>
          <w:color w:val="auto"/>
          <w:sz w:val="32"/>
          <w:szCs w:val="32"/>
          <w:lang w:val="en-US" w:eastAsia="zh-CN"/>
        </w:rPr>
        <w:t>落实家庭教育工作经费。</w:t>
      </w:r>
      <w:r>
        <w:rPr>
          <w:rFonts w:hint="eastAsia" w:ascii="仿宋_GB2312" w:hAnsi="仿宋_GB2312" w:eastAsia="仿宋_GB2312" w:cs="仿宋_GB2312"/>
          <w:color w:val="auto"/>
          <w:sz w:val="32"/>
          <w:szCs w:val="32"/>
          <w:lang w:val="en-US" w:eastAsia="zh-CN"/>
        </w:rPr>
        <w:t>省财政主要通过一般性转移支付的方式，提高市县政府履行事权的可支配财力，支持欠发达地区各项事业的发展。近年来，根据中央和省委、省政府的决策部署，省财政进一步压减专项转移支付、扩大一般性转移支付，不断加大对欠发达地区一般性转移支付力度，为地方政府更好履行职能提供财力保障。已建议各市县财政统筹使用好现有省级转移支付资金，根据各地实际及财力状况采取多种方式支持家庭教育工作</w:t>
      </w:r>
      <w:r>
        <w:rPr>
          <w:rFonts w:hint="eastAsia" w:ascii="仿宋_GB2312" w:hAnsi="仿宋_GB2312" w:eastAsia="仿宋_GB2312" w:cs="仿宋_GB2312"/>
          <w:b w:val="0"/>
          <w:bCs w:val="0"/>
          <w:snapToGrid w:val="0"/>
          <w:color w:val="auto"/>
          <w:kern w:val="0"/>
          <w:sz w:val="32"/>
          <w:szCs w:val="32"/>
          <w:highlight w:val="none"/>
          <w:lang w:val="en-US" w:eastAsia="zh-CN"/>
        </w:rPr>
        <w:t>，加大经费保障力度。</w:t>
      </w:r>
    </w:p>
    <w:p>
      <w:pPr>
        <w:keepNext w:val="0"/>
        <w:keepLines w:val="0"/>
        <w:pageBreakBefore w:val="0"/>
        <w:widowControl w:val="0"/>
        <w:kinsoku/>
        <w:wordWrap/>
        <w:overflowPunct/>
        <w:topLinePunct w:val="0"/>
        <w:autoSpaceDE/>
        <w:autoSpaceDN/>
        <w:bidi w:val="0"/>
        <w:spacing w:line="560" w:lineRule="exact"/>
        <w:ind w:left="0" w:leftChars="0" w:right="0" w:rightChars="0" w:firstLine="642"/>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六、存在困难与问题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1"/>
        <w:jc w:val="both"/>
        <w:textAlignment w:val="auto"/>
        <w:outlineLvl w:val="9"/>
        <w:rPr>
          <w:rFonts w:hint="eastAsia" w:ascii="黑体" w:hAnsi="黑体" w:eastAsia="黑体" w:cs="黑体"/>
          <w:b w:val="0"/>
          <w:bCs w:val="0"/>
          <w:snapToGrid w:val="0"/>
          <w:color w:val="auto"/>
          <w:kern w:val="0"/>
          <w:sz w:val="32"/>
          <w:szCs w:val="32"/>
          <w:highlight w:val="none"/>
          <w:lang w:val="en-US" w:eastAsia="zh-CN"/>
        </w:rPr>
      </w:pPr>
      <w:r>
        <w:rPr>
          <w:rFonts w:hint="eastAsia" w:ascii="仿宋_GB2312" w:hAnsi="仿宋_GB2312" w:eastAsia="仿宋_GB2312" w:cs="仿宋_GB2312"/>
          <w:b/>
          <w:bCs/>
          <w:snapToGrid w:val="0"/>
          <w:color w:val="auto"/>
          <w:kern w:val="0"/>
          <w:sz w:val="32"/>
          <w:szCs w:val="32"/>
          <w:highlight w:val="none"/>
          <w:lang w:val="en-US" w:eastAsia="zh-CN"/>
        </w:rPr>
        <w:t>针对提案中关于完善家庭教育政策，“将义务教育领域延伸到家庭教育”的问题。</w:t>
      </w:r>
      <w:r>
        <w:rPr>
          <w:rFonts w:hint="eastAsia" w:ascii="仿宋_GB2312" w:hAnsi="仿宋_GB2312" w:eastAsia="仿宋_GB2312" w:cs="仿宋_GB2312"/>
          <w:b w:val="0"/>
          <w:bCs w:val="0"/>
          <w:snapToGrid w:val="0"/>
          <w:color w:val="auto"/>
          <w:kern w:val="0"/>
          <w:sz w:val="32"/>
          <w:szCs w:val="32"/>
          <w:highlight w:val="none"/>
          <w:lang w:val="en-US" w:eastAsia="zh-CN"/>
        </w:rPr>
        <w:t>一是义务教育由国家法定，省无权出台义务教育政策。根据《中华人民共和国义务教育法》，国家实行九年义务教育制度，目前国家法定的义务教育范围不包括家庭教育。二是教育投入需“尽力而为，量力而行”，根据《国务院办公厅关于进一步调整优化结构提高教育经费使用效益的意见》（国办发[2018]82号）文的有关要求，现阶段还是把义务教育作为教育投入的重中之重，着力解决人民群众关心的控辍保学、“大班额”、随迁子女就学、家庭无法正常履行教育和监护责任的农村留守儿童入学寄宿等突出问题。你们提出的建议我们会向全国层面反映，希望能够尽早有所突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七、下一步工作计划</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napToGrid w:val="0"/>
          <w:spacing w:val="0"/>
          <w:w w:val="100"/>
          <w:kern w:val="0"/>
          <w:sz w:val="32"/>
          <w:szCs w:val="32"/>
          <w:highlight w:val="none"/>
          <w:lang w:val="en-US" w:eastAsia="zh-CN"/>
        </w:rPr>
        <w:t>继续认真</w:t>
      </w:r>
      <w:r>
        <w:rPr>
          <w:rFonts w:hint="eastAsia" w:ascii="仿宋_GB2312" w:hAnsi="仿宋_GB2312" w:eastAsia="仿宋_GB2312" w:cs="仿宋_GB2312"/>
          <w:b w:val="0"/>
          <w:bCs w:val="0"/>
          <w:snapToGrid w:val="0"/>
          <w:spacing w:val="0"/>
          <w:w w:val="100"/>
          <w:kern w:val="0"/>
          <w:sz w:val="32"/>
          <w:szCs w:val="32"/>
          <w:highlight w:val="none"/>
          <w:lang w:eastAsia="zh-CN"/>
        </w:rPr>
        <w:t>落实</w:t>
      </w:r>
      <w:r>
        <w:rPr>
          <w:rFonts w:hint="eastAsia" w:ascii="仿宋_GB2312" w:hAnsi="仿宋_GB2312" w:eastAsia="仿宋_GB2312" w:cs="仿宋_GB2312"/>
          <w:b w:val="0"/>
          <w:bCs w:val="0"/>
          <w:snapToGrid w:val="0"/>
          <w:spacing w:val="0"/>
          <w:w w:val="100"/>
          <w:kern w:val="0"/>
          <w:sz w:val="32"/>
          <w:szCs w:val="32"/>
          <w:highlight w:val="none"/>
          <w:lang w:val="en-US" w:eastAsia="zh-CN"/>
        </w:rPr>
        <w:t>家教规划任务</w:t>
      </w:r>
      <w:r>
        <w:rPr>
          <w:rFonts w:hint="eastAsia" w:ascii="仿宋_GB2312" w:hAnsi="仿宋_GB2312" w:eastAsia="仿宋_GB2312" w:cs="仿宋_GB2312"/>
          <w:b w:val="0"/>
          <w:bCs w:val="0"/>
          <w:sz w:val="32"/>
          <w:szCs w:val="32"/>
          <w:highlight w:val="none"/>
          <w:lang w:val="en-US" w:eastAsia="zh-CN"/>
        </w:rPr>
        <w:t>，涵养好家教</w:t>
      </w:r>
      <w:r>
        <w:rPr>
          <w:rFonts w:hint="eastAsia" w:ascii="仿宋_GB2312" w:hAnsi="仿宋_GB2312" w:eastAsia="仿宋_GB2312" w:cs="仿宋_GB2312"/>
          <w:b w:val="0"/>
          <w:bCs w:val="0"/>
          <w:snapToGrid w:val="0"/>
          <w:spacing w:val="0"/>
          <w:w w:val="100"/>
          <w:kern w:val="0"/>
          <w:sz w:val="32"/>
          <w:szCs w:val="32"/>
          <w:highlight w:val="none"/>
          <w:lang w:eastAsia="zh-CN"/>
        </w:rPr>
        <w:t>。</w:t>
      </w:r>
      <w:r>
        <w:rPr>
          <w:rFonts w:hint="eastAsia" w:ascii="仿宋_GB2312" w:hAnsi="仿宋_GB2312" w:eastAsia="仿宋_GB2312" w:cs="仿宋_GB2312"/>
          <w:snapToGrid w:val="0"/>
          <w:spacing w:val="0"/>
          <w:w w:val="100"/>
          <w:kern w:val="0"/>
          <w:sz w:val="32"/>
          <w:szCs w:val="32"/>
          <w:highlight w:val="none"/>
          <w:lang w:val="en-US" w:eastAsia="zh-CN"/>
        </w:rPr>
        <w:t>强化示范引领，</w:t>
      </w:r>
      <w:r>
        <w:rPr>
          <w:rFonts w:hint="eastAsia" w:ascii="仿宋_GB2312" w:hAnsi="仿宋_GB2312" w:eastAsia="仿宋_GB2312" w:cs="仿宋_GB2312"/>
          <w:snapToGrid w:val="0"/>
          <w:spacing w:val="0"/>
          <w:w w:val="100"/>
          <w:kern w:val="0"/>
          <w:sz w:val="32"/>
          <w:szCs w:val="32"/>
          <w:highlight w:val="none"/>
          <w:lang w:eastAsia="zh-CN"/>
        </w:rPr>
        <w:t>立足社区</w:t>
      </w:r>
      <w:r>
        <w:rPr>
          <w:rFonts w:hint="eastAsia" w:ascii="仿宋_GB2312" w:hAnsi="仿宋_GB2312" w:eastAsia="仿宋_GB2312" w:cs="仿宋_GB2312"/>
          <w:snapToGrid w:val="0"/>
          <w:spacing w:val="0"/>
          <w:w w:val="100"/>
          <w:kern w:val="0"/>
          <w:sz w:val="32"/>
          <w:szCs w:val="32"/>
          <w:highlight w:val="none"/>
        </w:rPr>
        <w:t>开展家庭教育知识普及</w:t>
      </w:r>
      <w:r>
        <w:rPr>
          <w:rFonts w:hint="eastAsia" w:ascii="仿宋_GB2312" w:hAnsi="仿宋_GB2312" w:eastAsia="仿宋_GB2312" w:cs="仿宋_GB2312"/>
          <w:snapToGrid w:val="0"/>
          <w:spacing w:val="0"/>
          <w:w w:val="100"/>
          <w:kern w:val="0"/>
          <w:sz w:val="32"/>
          <w:szCs w:val="32"/>
          <w:highlight w:val="none"/>
          <w:lang w:val="en-US" w:eastAsia="zh-CN"/>
        </w:rPr>
        <w:t>和实践</w:t>
      </w:r>
      <w:r>
        <w:rPr>
          <w:rFonts w:hint="eastAsia" w:ascii="仿宋_GB2312" w:hAnsi="仿宋_GB2312" w:eastAsia="仿宋_GB2312" w:cs="仿宋_GB2312"/>
          <w:snapToGrid w:val="0"/>
          <w:spacing w:val="0"/>
          <w:w w:val="100"/>
          <w:kern w:val="0"/>
          <w:sz w:val="32"/>
          <w:szCs w:val="32"/>
          <w:highlight w:val="none"/>
          <w:lang w:eastAsia="zh-CN"/>
        </w:rPr>
        <w:t>活动</w:t>
      </w:r>
      <w:r>
        <w:rPr>
          <w:rFonts w:hint="eastAsia" w:ascii="仿宋_GB2312" w:hAnsi="仿宋_GB2312" w:eastAsia="仿宋_GB2312" w:cs="仿宋_GB2312"/>
          <w:snapToGrid w:val="0"/>
          <w:spacing w:val="0"/>
          <w:w w:val="100"/>
          <w:kern w:val="0"/>
          <w:sz w:val="32"/>
          <w:szCs w:val="32"/>
          <w:highlight w:val="none"/>
          <w:lang w:val="en-US" w:eastAsia="zh-CN"/>
        </w:rPr>
        <w:t>。加强宣传，</w:t>
      </w:r>
      <w:r>
        <w:rPr>
          <w:rFonts w:hint="eastAsia" w:ascii="仿宋_GB2312" w:hAnsi="仿宋_GB2312" w:eastAsia="仿宋_GB2312" w:cs="仿宋_GB2312"/>
          <w:snapToGrid w:val="0"/>
          <w:spacing w:val="0"/>
          <w:w w:val="100"/>
          <w:kern w:val="0"/>
          <w:sz w:val="32"/>
          <w:szCs w:val="32"/>
          <w:highlight w:val="none"/>
          <w:lang w:eastAsia="zh-CN"/>
        </w:rPr>
        <w:t>充分利用线上线下平台开展家教指导服务，</w:t>
      </w:r>
      <w:r>
        <w:rPr>
          <w:rFonts w:hint="eastAsia" w:ascii="仿宋_GB2312" w:hAnsi="仿宋_GB2312" w:eastAsia="仿宋_GB2312" w:cs="仿宋_GB2312"/>
          <w:snapToGrid w:val="0"/>
          <w:spacing w:val="0"/>
          <w:w w:val="100"/>
          <w:kern w:val="0"/>
          <w:sz w:val="32"/>
          <w:szCs w:val="32"/>
          <w:highlight w:val="none"/>
        </w:rPr>
        <w:t>宣传优秀家庭教育案例</w:t>
      </w:r>
      <w:r>
        <w:rPr>
          <w:rFonts w:hint="eastAsia" w:ascii="仿宋_GB2312" w:hAnsi="仿宋_GB2312" w:eastAsia="仿宋_GB2312" w:cs="仿宋_GB2312"/>
          <w:snapToGrid w:val="0"/>
          <w:spacing w:val="0"/>
          <w:w w:val="100"/>
          <w:kern w:val="0"/>
          <w:sz w:val="32"/>
          <w:szCs w:val="32"/>
          <w:highlight w:val="none"/>
          <w:lang w:eastAsia="zh-CN"/>
        </w:rPr>
        <w:t>。开展“家庭教育大讲堂”活动，</w:t>
      </w:r>
      <w:r>
        <w:rPr>
          <w:rFonts w:hint="eastAsia" w:ascii="仿宋_GB2312" w:hAnsi="仿宋_GB2312" w:eastAsia="仿宋_GB2312" w:cs="仿宋_GB2312"/>
          <w:snapToGrid w:val="0"/>
          <w:spacing w:val="0"/>
          <w:w w:val="100"/>
          <w:kern w:val="0"/>
          <w:sz w:val="32"/>
          <w:szCs w:val="32"/>
          <w:highlight w:val="none"/>
          <w:lang w:val="en-US" w:eastAsia="zh-CN"/>
        </w:rPr>
        <w:t>推动家庭教育知识“六进”（进机关、进学校、进社区、进家庭、进企业、进网络），营造全社会重视家庭、家教、家风建设氛围。</w:t>
      </w:r>
      <w:r>
        <w:rPr>
          <w:rFonts w:hint="eastAsia" w:ascii="仿宋_GB2312" w:hAnsi="仿宋_GB2312" w:eastAsia="仿宋_GB2312" w:cs="仿宋_GB2312"/>
          <w:b w:val="0"/>
          <w:bCs w:val="0"/>
          <w:sz w:val="32"/>
          <w:szCs w:val="32"/>
          <w:highlight w:val="none"/>
          <w:lang w:val="en-US" w:eastAsia="zh-CN"/>
        </w:rPr>
        <w:t>完善家庭教育指导服务体系，</w:t>
      </w:r>
      <w:r>
        <w:rPr>
          <w:rFonts w:hint="eastAsia" w:ascii="仿宋_GB2312" w:hAnsi="仿宋_GB2312" w:eastAsia="仿宋_GB2312" w:cs="仿宋_GB2312"/>
          <w:b w:val="0"/>
          <w:bCs w:val="0"/>
          <w:snapToGrid w:val="0"/>
          <w:color w:val="auto"/>
          <w:spacing w:val="0"/>
          <w:w w:val="100"/>
          <w:kern w:val="0"/>
          <w:sz w:val="32"/>
          <w:szCs w:val="32"/>
          <w:highlight w:val="none"/>
          <w:lang w:val="en-US" w:eastAsia="zh-CN"/>
        </w:rPr>
        <w:t>扎实推进家教立法进程</w:t>
      </w:r>
      <w:r>
        <w:rPr>
          <w:rFonts w:hint="eastAsia" w:ascii="仿宋_GB2312" w:hAnsi="仿宋_GB2312" w:eastAsia="仿宋_GB2312" w:cs="仿宋_GB2312"/>
          <w:b w:val="0"/>
          <w:bCs w:val="0"/>
          <w:color w:val="auto"/>
          <w:spacing w:val="0"/>
          <w:w w:val="100"/>
          <w:kern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开展“书香飘万家”家庭亲子阅读活动，打造活动品牌，让家长和儿童便于参与、乐于参与，发挥读书在家庭教育中的独特作用，帮助孩子扣好人生第一粒扣子。我省各有关部门将进一步落实立德树人根本任务，继续加强家庭教育工作，</w:t>
      </w:r>
      <w:r>
        <w:rPr>
          <w:rFonts w:hint="eastAsia" w:ascii="仿宋_GB2312" w:hAnsi="-webkit-standard" w:eastAsia="仿宋_GB2312" w:cs="宋体"/>
          <w:color w:val="auto"/>
          <w:kern w:val="0"/>
          <w:sz w:val="32"/>
          <w:szCs w:val="32"/>
        </w:rPr>
        <w:t>推进构建以家庭教育为重点，家庭、学校、社会三位一体的教育网络。</w:t>
      </w:r>
    </w:p>
    <w:p>
      <w:pPr>
        <w:keepNext w:val="0"/>
        <w:keepLines w:val="0"/>
        <w:pageBreakBefore w:val="0"/>
        <w:widowControl w:val="0"/>
        <w:kinsoku/>
        <w:wordWrap/>
        <w:overflowPunct/>
        <w:topLinePunct w:val="0"/>
        <w:autoSpaceDE/>
        <w:autoSpaceDN/>
        <w:bidi w:val="0"/>
        <w:spacing w:line="560" w:lineRule="exact"/>
        <w:ind w:left="0" w:leftChars="0" w:right="0" w:rightChars="0" w:firstLine="642"/>
        <w:jc w:val="both"/>
        <w:textAlignment w:val="auto"/>
        <w:rPr>
          <w:rFonts w:hint="eastAsia" w:ascii="仿宋_GB2312" w:hAnsi="-webkit-standard" w:eastAsia="仿宋_GB2312" w:cs="宋体"/>
          <w:color w:val="auto"/>
          <w:kern w:val="0"/>
          <w:sz w:val="32"/>
          <w:szCs w:val="32"/>
          <w:lang w:val="en-US" w:eastAsia="zh-CN"/>
        </w:rPr>
      </w:pPr>
      <w:r>
        <w:rPr>
          <w:rFonts w:hint="eastAsia" w:ascii="仿宋_GB2312" w:hAnsi="-webkit-standard" w:eastAsia="仿宋_GB2312" w:cs="宋体"/>
          <w:color w:val="auto"/>
          <w:kern w:val="0"/>
          <w:sz w:val="32"/>
          <w:szCs w:val="32"/>
          <w:lang w:val="en-US" w:eastAsia="zh-CN"/>
        </w:rPr>
        <w:t>专此答复，诚挚感谢你们对我们工作的关心和支持，欢迎你们继续对我们的工作提出宝贵意见和建议。</w:t>
      </w:r>
    </w:p>
    <w:p>
      <w:pPr>
        <w:keepNext w:val="0"/>
        <w:keepLines w:val="0"/>
        <w:pageBreakBefore w:val="0"/>
        <w:widowControl w:val="0"/>
        <w:kinsoku/>
        <w:wordWrap/>
        <w:overflowPunct/>
        <w:topLinePunct w:val="0"/>
        <w:autoSpaceDE/>
        <w:autoSpaceDN/>
        <w:bidi w:val="0"/>
        <w:spacing w:line="600" w:lineRule="exact"/>
        <w:ind w:left="0" w:leftChars="0" w:right="0" w:rightChars="0" w:firstLine="642"/>
        <w:textAlignment w:val="auto"/>
        <w:rPr>
          <w:rFonts w:hint="eastAsia" w:ascii="仿宋_GB2312" w:hAnsi="-webkit-standard" w:eastAsia="仿宋_GB2312" w:cs="宋体"/>
          <w:color w:val="auto"/>
          <w:kern w:val="0"/>
          <w:sz w:val="32"/>
          <w:szCs w:val="32"/>
          <w:lang w:val="en-US" w:eastAsia="zh-CN"/>
        </w:rPr>
      </w:pPr>
    </w:p>
    <w:p>
      <w:pPr>
        <w:keepNext w:val="0"/>
        <w:keepLines w:val="0"/>
        <w:pageBreakBefore w:val="0"/>
        <w:widowControl w:val="0"/>
        <w:kinsoku/>
        <w:wordWrap/>
        <w:overflowPunct/>
        <w:topLinePunct w:val="0"/>
        <w:autoSpaceDE/>
        <w:autoSpaceDN/>
        <w:bidi w:val="0"/>
        <w:spacing w:line="600" w:lineRule="exact"/>
        <w:ind w:right="0" w:rightChars="0"/>
        <w:textAlignment w:val="auto"/>
        <w:rPr>
          <w:rFonts w:hint="eastAsia" w:ascii="仿宋_GB2312" w:hAnsi="-webkit-standard" w:eastAsia="仿宋_GB2312" w:cs="宋体"/>
          <w:color w:val="auto"/>
          <w:kern w:val="0"/>
          <w:sz w:val="32"/>
          <w:szCs w:val="32"/>
          <w:lang w:val="en-US" w:eastAsia="zh-CN"/>
        </w:rPr>
      </w:pPr>
    </w:p>
    <w:p>
      <w:pPr>
        <w:keepNext w:val="0"/>
        <w:keepLines w:val="0"/>
        <w:pageBreakBefore w:val="0"/>
        <w:widowControl w:val="0"/>
        <w:kinsoku/>
        <w:wordWrap w:val="0"/>
        <w:overflowPunct/>
        <w:topLinePunct w:val="0"/>
        <w:autoSpaceDE/>
        <w:autoSpaceDN/>
        <w:bidi w:val="0"/>
        <w:adjustRightInd w:val="0"/>
        <w:snapToGrid w:val="0"/>
        <w:spacing w:line="600" w:lineRule="exact"/>
        <w:ind w:left="0" w:leftChars="0" w:right="0" w:rightChars="0" w:firstLine="640" w:firstLineChars="200"/>
        <w:jc w:val="right"/>
        <w:textAlignment w:val="auto"/>
        <w:outlineLvl w:val="9"/>
        <w:rPr>
          <w:rFonts w:hint="eastAsia" w:ascii="仿宋_GB2312" w:hAnsi="-webkit-standard" w:eastAsia="仿宋_GB2312" w:cs="宋体"/>
          <w:color w:val="auto"/>
          <w:kern w:val="0"/>
          <w:sz w:val="32"/>
          <w:szCs w:val="32"/>
          <w:lang w:eastAsia="zh-CN"/>
        </w:rPr>
      </w:pPr>
      <w:r>
        <w:rPr>
          <w:rFonts w:hint="eastAsia" w:ascii="仿宋_GB2312" w:hAnsi="-webkit-standard" w:eastAsia="仿宋_GB2312" w:cs="宋体"/>
          <w:color w:val="auto"/>
          <w:kern w:val="0"/>
          <w:sz w:val="32"/>
          <w:szCs w:val="32"/>
          <w:lang w:eastAsia="zh-CN"/>
        </w:rPr>
        <w:t>广东省妇女联合会　　　　</w:t>
      </w:r>
    </w:p>
    <w:p>
      <w:pPr>
        <w:keepNext w:val="0"/>
        <w:keepLines w:val="0"/>
        <w:pageBreakBefore w:val="0"/>
        <w:widowControl w:val="0"/>
        <w:kinsoku/>
        <w:wordWrap w:val="0"/>
        <w:overflowPunct/>
        <w:topLinePunct w:val="0"/>
        <w:autoSpaceDE/>
        <w:autoSpaceDN/>
        <w:bidi w:val="0"/>
        <w:adjustRightInd w:val="0"/>
        <w:snapToGrid w:val="0"/>
        <w:spacing w:line="600" w:lineRule="exact"/>
        <w:ind w:left="0" w:leftChars="0" w:right="0" w:rightChars="0" w:firstLine="640" w:firstLineChars="200"/>
        <w:jc w:val="center"/>
        <w:textAlignment w:val="auto"/>
        <w:outlineLvl w:val="9"/>
        <w:rPr>
          <w:rFonts w:hint="eastAsia" w:ascii="仿宋_GB2312" w:hAnsi="-webkit-standard" w:eastAsia="仿宋_GB2312" w:cs="宋体"/>
          <w:color w:val="auto"/>
          <w:kern w:val="0"/>
          <w:sz w:val="32"/>
          <w:szCs w:val="32"/>
          <w:lang w:eastAsia="zh-CN"/>
        </w:rPr>
      </w:pPr>
      <w:r>
        <w:rPr>
          <w:rFonts w:hint="eastAsia" w:ascii="仿宋_GB2312" w:hAnsi="-webkit-standard" w:eastAsia="仿宋_GB2312" w:cs="宋体"/>
          <w:color w:val="auto"/>
          <w:kern w:val="0"/>
          <w:sz w:val="32"/>
          <w:szCs w:val="32"/>
          <w:lang w:val="en-US" w:eastAsia="zh-CN"/>
        </w:rPr>
        <w:t xml:space="preserve">                       </w:t>
      </w:r>
      <w:r>
        <w:rPr>
          <w:rFonts w:hint="eastAsia" w:ascii="仿宋_GB2312" w:hAnsi="-webkit-standard" w:eastAsia="仿宋_GB2312" w:cs="宋体"/>
          <w:color w:val="auto"/>
          <w:kern w:val="0"/>
          <w:sz w:val="32"/>
          <w:szCs w:val="32"/>
        </w:rPr>
        <w:t>201</w:t>
      </w:r>
      <w:r>
        <w:rPr>
          <w:rFonts w:hint="eastAsia" w:ascii="仿宋_GB2312" w:hAnsi="-webkit-standard" w:eastAsia="仿宋_GB2312" w:cs="宋体"/>
          <w:color w:val="auto"/>
          <w:kern w:val="0"/>
          <w:sz w:val="32"/>
          <w:szCs w:val="32"/>
          <w:lang w:val="en-US" w:eastAsia="zh-CN"/>
        </w:rPr>
        <w:t>9</w:t>
      </w:r>
      <w:r>
        <w:rPr>
          <w:rFonts w:hint="eastAsia" w:ascii="仿宋_GB2312" w:hAnsi="-webkit-standard" w:eastAsia="仿宋_GB2312" w:cs="宋体"/>
          <w:color w:val="auto"/>
          <w:kern w:val="0"/>
          <w:sz w:val="32"/>
          <w:szCs w:val="32"/>
        </w:rPr>
        <w:t>年</w:t>
      </w:r>
      <w:r>
        <w:rPr>
          <w:rFonts w:hint="eastAsia" w:ascii="仿宋_GB2312" w:hAnsi="-webkit-standard" w:eastAsia="仿宋_GB2312" w:cs="宋体"/>
          <w:color w:val="auto"/>
          <w:kern w:val="0"/>
          <w:sz w:val="32"/>
          <w:szCs w:val="32"/>
          <w:lang w:val="en-US" w:eastAsia="zh-CN"/>
        </w:rPr>
        <w:t>5</w:t>
      </w:r>
      <w:r>
        <w:rPr>
          <w:rFonts w:hint="eastAsia" w:ascii="仿宋_GB2312" w:hAnsi="-webkit-standard" w:eastAsia="仿宋_GB2312" w:cs="宋体"/>
          <w:color w:val="auto"/>
          <w:kern w:val="0"/>
          <w:sz w:val="32"/>
          <w:szCs w:val="32"/>
        </w:rPr>
        <w:t>月</w:t>
      </w:r>
      <w:r>
        <w:rPr>
          <w:rFonts w:hint="eastAsia" w:ascii="仿宋_GB2312" w:hAnsi="-webkit-standard" w:eastAsia="仿宋_GB2312" w:cs="宋体"/>
          <w:color w:val="auto"/>
          <w:kern w:val="0"/>
          <w:sz w:val="32"/>
          <w:szCs w:val="32"/>
          <w:lang w:val="en-US" w:eastAsia="zh-CN"/>
        </w:rPr>
        <w:t>6</w:t>
      </w:r>
      <w:r>
        <w:rPr>
          <w:rFonts w:hint="eastAsia" w:ascii="仿宋_GB2312" w:hAnsi="-webkit-standard" w:eastAsia="仿宋_GB2312" w:cs="宋体"/>
          <w:color w:val="auto"/>
          <w:kern w:val="0"/>
          <w:sz w:val="32"/>
          <w:szCs w:val="32"/>
        </w:rPr>
        <w:t>日</w:t>
      </w:r>
      <w:r>
        <w:rPr>
          <w:rFonts w:hint="eastAsia" w:ascii="仿宋_GB2312" w:hAnsi="-webkit-standard" w:eastAsia="仿宋_GB2312" w:cs="宋体"/>
          <w:color w:val="auto"/>
          <w:kern w:val="0"/>
          <w:sz w:val="32"/>
          <w:szCs w:val="32"/>
          <w:lang w:eastAsia="zh-CN"/>
        </w:rPr>
        <w:t>　　</w:t>
      </w:r>
    </w:p>
    <w:p>
      <w:pPr>
        <w:keepNext w:val="0"/>
        <w:keepLines w:val="0"/>
        <w:pageBreakBefore w:val="0"/>
        <w:widowControl w:val="0"/>
        <w:kinsoku/>
        <w:wordWrap w:val="0"/>
        <w:overflowPunct/>
        <w:topLinePunct w:val="0"/>
        <w:autoSpaceDE/>
        <w:autoSpaceDN/>
        <w:bidi w:val="0"/>
        <w:adjustRightInd w:val="0"/>
        <w:snapToGrid w:val="0"/>
        <w:spacing w:line="600" w:lineRule="exact"/>
        <w:ind w:left="0" w:leftChars="0" w:right="0" w:rightChars="0" w:firstLine="640" w:firstLineChars="200"/>
        <w:jc w:val="right"/>
        <w:textAlignment w:val="auto"/>
        <w:outlineLvl w:val="9"/>
        <w:rPr>
          <w:rFonts w:hint="eastAsia" w:ascii="仿宋_GB2312" w:hAnsi="-webkit-standard" w:eastAsia="仿宋_GB2312" w:cs="宋体"/>
          <w:color w:val="auto"/>
          <w:kern w:val="0"/>
          <w:sz w:val="32"/>
          <w:szCs w:val="32"/>
          <w:lang w:eastAsia="zh-CN"/>
        </w:rPr>
      </w:pPr>
    </w:p>
    <w:p>
      <w:pPr>
        <w:keepNext w:val="0"/>
        <w:keepLines w:val="0"/>
        <w:pageBreakBefore w:val="0"/>
        <w:widowControl w:val="0"/>
        <w:kinsoku/>
        <w:wordWrap w:val="0"/>
        <w:overflowPunct/>
        <w:topLinePunct w:val="0"/>
        <w:autoSpaceDE/>
        <w:autoSpaceDN/>
        <w:bidi w:val="0"/>
        <w:adjustRightInd w:val="0"/>
        <w:snapToGrid w:val="0"/>
        <w:spacing w:line="600" w:lineRule="exact"/>
        <w:ind w:left="0" w:leftChars="0" w:right="0" w:rightChars="0" w:firstLine="640" w:firstLineChars="200"/>
        <w:jc w:val="right"/>
        <w:textAlignment w:val="auto"/>
        <w:outlineLvl w:val="9"/>
        <w:rPr>
          <w:rFonts w:hint="eastAsia" w:ascii="仿宋_GB2312" w:hAnsi="-webkit-standard" w:eastAsia="仿宋_GB2312" w:cs="宋体"/>
          <w:color w:val="auto"/>
          <w:kern w:val="0"/>
          <w:sz w:val="32"/>
          <w:szCs w:val="32"/>
        </w:rPr>
      </w:pPr>
      <w:bookmarkStart w:id="0" w:name="_GoBack"/>
      <w:bookmarkEnd w:id="0"/>
      <w:r>
        <w:rPr>
          <w:rFonts w:hint="eastAsia" w:ascii="仿宋_GB2312" w:hAnsi="-webkit-standard" w:eastAsia="仿宋_GB2312" w:cs="宋体"/>
          <w:color w:val="auto"/>
          <w:kern w:val="0"/>
          <w:sz w:val="32"/>
          <w:szCs w:val="32"/>
          <w:lang w:eastAsia="zh-CN"/>
        </w:rPr>
        <w:t>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（联系人及电话：张智慧 ，020-87195672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黑体" w:hAnsi="黑体" w:eastAsia="黑体" w:cs="黑体"/>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黑体" w:hAnsi="黑体" w:eastAsia="黑体" w:cs="黑体"/>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黑体" w:hAnsi="黑体" w:eastAsia="黑体" w:cs="黑体"/>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仿宋_GB2312" w:hAnsi="仿宋_GB2312" w:eastAsia="仿宋_GB2312" w:cs="仿宋_GB2312"/>
          <w:kern w:val="0"/>
          <w:sz w:val="32"/>
          <w:szCs w:val="32"/>
          <w:lang w:val="en-US" w:eastAsia="zh-CN" w:bidi="ar"/>
        </w:rPr>
      </w:pPr>
      <w:r>
        <w:rPr>
          <w:rFonts w:hint="eastAsia" w:ascii="黑体" w:hAnsi="黑体" w:eastAsia="黑体" w:cs="黑体"/>
          <w:kern w:val="0"/>
          <w:sz w:val="32"/>
          <w:szCs w:val="32"/>
          <w:lang w:val="en-US" w:eastAsia="zh-CN" w:bidi="ar"/>
        </w:rPr>
        <w:t>公开方式：</w:t>
      </w:r>
      <w:r>
        <w:rPr>
          <w:rFonts w:hint="eastAsia" w:ascii="仿宋_GB2312" w:hAnsi="仿宋_GB2312" w:eastAsia="仿宋_GB2312" w:cs="仿宋_GB2312"/>
          <w:kern w:val="0"/>
          <w:sz w:val="32"/>
          <w:szCs w:val="32"/>
          <w:lang w:val="en-US" w:eastAsia="zh-CN" w:bidi="ar"/>
        </w:rPr>
        <w:t>主动公开</w:t>
      </w:r>
    </w:p>
    <w:p>
      <w:pPr>
        <w:keepNext w:val="0"/>
        <w:keepLines w:val="0"/>
        <w:pageBreakBefore w:val="0"/>
        <w:widowControl w:val="0"/>
        <w:kinsoku/>
        <w:wordWrap w:val="0"/>
        <w:overflowPunct/>
        <w:topLinePunct w:val="0"/>
        <w:autoSpaceDE/>
        <w:autoSpaceDN/>
        <w:bidi w:val="0"/>
        <w:adjustRightInd/>
        <w:snapToGrid/>
        <w:spacing w:line="600" w:lineRule="exact"/>
        <w:ind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lang w:val="en-US" w:eastAsia="zh-CN" w:bidi="ar"/>
        </w:rPr>
        <w:t>抄送：省委办公厅,省政协提案委,</w:t>
      </w:r>
      <w:r>
        <w:rPr>
          <w:rFonts w:hint="eastAsia" w:ascii="仿宋_GB2312" w:hAnsi="仿宋_GB2312" w:eastAsia="仿宋_GB2312" w:cs="仿宋_GB2312"/>
          <w:sz w:val="32"/>
          <w:szCs w:val="32"/>
          <w:lang w:val="en-US" w:eastAsia="zh-CN"/>
        </w:rPr>
        <w:t>省教育厅,省财政厅。　　</w:t>
      </w:r>
    </w:p>
    <w:sectPr>
      <w:footerReference r:id="rId3" w:type="default"/>
      <w:pgSz w:w="11906" w:h="16838"/>
      <w:pgMar w:top="1984" w:right="1531" w:bottom="1440" w:left="153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System">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DY130+ZMJI77-130">
    <w:altName w:val="Times New Roman"/>
    <w:panose1 w:val="00000000000000000000"/>
    <w:charset w:val="00"/>
    <w:family w:val="auto"/>
    <w:pitch w:val="default"/>
    <w:sig w:usb0="00000000" w:usb1="00000000" w:usb2="00000000" w:usb3="00000000" w:csb0="00000001" w:csb1="00000000"/>
  </w:font>
  <w:font w:name="Lucida Sans Unicode">
    <w:panose1 w:val="020B0602030504020204"/>
    <w:charset w:val="00"/>
    <w:family w:val="swiss"/>
    <w:pitch w:val="default"/>
    <w:sig w:usb0="80001AFF" w:usb1="0000396B" w:usb2="00000000" w:usb3="00000000" w:csb0="200000BF" w:csb1="D7F70000"/>
  </w:font>
  <w:font w:name="楷体_GB2312">
    <w:panose1 w:val="02010609030101010101"/>
    <w:charset w:val="86"/>
    <w:family w:val="modern"/>
    <w:pitch w:val="default"/>
    <w:sig w:usb0="00000001" w:usb1="080E0000" w:usb2="00000000" w:usb3="00000000" w:csb0="00040000" w:csb1="00000000"/>
  </w:font>
  <w:font w:name="Dotum">
    <w:panose1 w:val="020B0600000101010101"/>
    <w:charset w:val="81"/>
    <w:family w:val="auto"/>
    <w:pitch w:val="default"/>
    <w:sig w:usb0="B00002AF" w:usb1="69D77CFB" w:usb2="00000030" w:usb3="00000000" w:csb0="4008009F" w:csb1="DFD70000"/>
  </w:font>
  <w:font w:name="_x000B__x000C_">
    <w:altName w:val="Times New Roman"/>
    <w:panose1 w:val="00000604030504040204"/>
    <w:charset w:val="01"/>
    <w:family w:val="swiss"/>
    <w:pitch w:val="default"/>
    <w:sig w:usb0="00000000" w:usb1="00000000" w:usb2="00000000" w:usb3="00000000" w:csb0="00040001" w:csb1="00000000"/>
  </w:font>
  <w:font w:name="Arial">
    <w:panose1 w:val="020B0604020202020204"/>
    <w:charset w:val="00"/>
    <w:family w:val="auto"/>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 w:name="Calibri">
    <w:panose1 w:val="020F0502020204030204"/>
    <w:charset w:val="01"/>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FZ Extra BSK">
    <w:altName w:val="宋体"/>
    <w:panose1 w:val="00000000000000000000"/>
    <w:charset w:val="86"/>
    <w:family w:val="auto"/>
    <w:pitch w:val="default"/>
    <w:sig w:usb0="00000000" w:usb1="00000000" w:usb2="00000010" w:usb3="00000000" w:csb0="00040000" w:csb1="00000000"/>
  </w:font>
  <w:font w:name="Gulim">
    <w:panose1 w:val="020B0600000101010101"/>
    <w:charset w:val="81"/>
    <w:family w:val="auto"/>
    <w:pitch w:val="default"/>
    <w:sig w:usb0="B00002AF" w:usb1="69D77CFB" w:usb2="00000030" w:usb3="00000000" w:csb0="4008009F" w:csb1="DFD70000"/>
  </w:font>
  <w:font w:name="Futura Com Book">
    <w:altName w:val="宋体"/>
    <w:panose1 w:val="02010509060101010101"/>
    <w:charset w:val="86"/>
    <w:family w:val="auto"/>
    <w:pitch w:val="default"/>
    <w:sig w:usb0="00000000" w:usb1="00000000" w:usb2="00000000" w:usb3="00000000" w:csb0="00040000" w:csb1="00000000"/>
  </w:font>
  <w:font w:name="ˎ̥">
    <w:altName w:val="Times New Roman"/>
    <w:panose1 w:val="00000609000101010101"/>
    <w:charset w:val="01"/>
    <w:family w:val="roman"/>
    <w:pitch w:val="default"/>
    <w:sig w:usb0="00000000" w:usb1="00000000" w:usb2="00000000" w:usb3="00000000" w:csb0="00040001" w:csb1="00000000"/>
  </w:font>
  <w:font w:name="Verdana">
    <w:panose1 w:val="020B0604030504040204"/>
    <w:charset w:val="01"/>
    <w:family w:val="swiss"/>
    <w:pitch w:val="default"/>
    <w:sig w:usb0="A10006FF" w:usb1="4000205B" w:usb2="00000010" w:usb3="00000000" w:csb0="2000019F" w:csb1="00000000"/>
  </w:font>
  <w:font w:name="Batang">
    <w:panose1 w:val="02030600000101010101"/>
    <w:charset w:val="81"/>
    <w:family w:val="auto"/>
    <w:pitch w:val="default"/>
    <w:sig w:usb0="B00002AF" w:usb1="69D77CFB" w:usb2="00000030" w:usb3="00000000" w:csb0="4008009F" w:csb1="DFD70000"/>
  </w:font>
  <w:font w:name="2012">
    <w:altName w:val="宋体"/>
    <w:panose1 w:val="02010509060101010101"/>
    <w:charset w:val="86"/>
    <w:family w:val="auto"/>
    <w:pitch w:val="default"/>
    <w:sig w:usb0="00000000" w:usb1="00000000" w:usb2="00000000" w:usb3="00000000" w:csb0="00040000"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Angsana New">
    <w:panose1 w:val="02020603050405020304"/>
    <w:charset w:val="00"/>
    <w:family w:val="auto"/>
    <w:pitch w:val="default"/>
    <w:sig w:usb0="81000003" w:usb1="00000000" w:usb2="00000000" w:usb3="00000000" w:csb0="00010001" w:csb1="00000000"/>
  </w:font>
  <w:font w:name="Arabic Typesetting">
    <w:panose1 w:val="03020402040406030203"/>
    <w:charset w:val="00"/>
    <w:family w:val="auto"/>
    <w:pitch w:val="default"/>
    <w:sig w:usb0="A000206F" w:usb1="C0000000" w:usb2="00000008" w:usb3="00000000" w:csb0="200000D3" w:csb1="00000000"/>
  </w:font>
  <w:font w:name="Tahoma">
    <w:panose1 w:val="020B0604030504040204"/>
    <w:charset w:val="00"/>
    <w:family w:val="swiss"/>
    <w:pitch w:val="default"/>
    <w:sig w:usb0="E1002EFF" w:usb1="C000605B" w:usb2="00000029" w:usb3="00000000" w:csb0="200101FF" w:csb1="20280000"/>
  </w:font>
  <w:font w:name="方正楷体_GBK">
    <w:altName w:val="微软雅黑"/>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微软雅黑 Light">
    <w:altName w:val="黑体"/>
    <w:panose1 w:val="020B0502040204020203"/>
    <w:charset w:val="86"/>
    <w:family w:val="auto"/>
    <w:pitch w:val="default"/>
    <w:sig w:usb0="00000000" w:usb1="00000000"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ˎ̥">
    <w:altName w:val="Times New Roman"/>
    <w:panose1 w:val="00000000000000000000"/>
    <w:charset w:val="00"/>
    <w:family w:val="swiss"/>
    <w:pitch w:val="default"/>
    <w:sig w:usb0="00000000" w:usb1="00000000" w:usb2="00000000" w:usb3="00000000" w:csb0="00040001" w:csb1="00000000"/>
  </w:font>
  <w:font w:name="FangSong_GB2312-Identity-H">
    <w:altName w:val="宋体"/>
    <w:panose1 w:val="00000000000000000000"/>
    <w:charset w:val="86"/>
    <w:family w:val="auto"/>
    <w:pitch w:val="default"/>
    <w:sig w:usb0="00000000" w:usb1="00000000" w:usb2="00000010" w:usb3="00000000" w:csb0="00040000" w:csb1="00000000"/>
  </w:font>
  <w:font w:name="FZFSK--GBK1-0">
    <w:altName w:val="宋体"/>
    <w:panose1 w:val="00000000000000000000"/>
    <w:charset w:val="86"/>
    <w:family w:val="auto"/>
    <w:pitch w:val="default"/>
    <w:sig w:usb0="00000000" w:usb1="00000000" w:usb2="00000010" w:usb3="00000000" w:csb0="00040000" w:csb1="00000000"/>
  </w:font>
  <w:font w:name="E-BZ">
    <w:altName w:val="宋体"/>
    <w:panose1 w:val="00000000000000000000"/>
    <w:charset w:val="86"/>
    <w:family w:val="auto"/>
    <w:pitch w:val="default"/>
    <w:sig w:usb0="00000000" w:usb1="00000000" w:usb2="00000000" w:usb3="00000000" w:csb0="00040000" w:csb1="00000000"/>
  </w:font>
  <w:font w:name="方正黑体简体">
    <w:altName w:val="微软雅黑"/>
    <w:panose1 w:val="03000509000000000000"/>
    <w:charset w:val="86"/>
    <w:family w:val="script"/>
    <w:pitch w:val="default"/>
    <w:sig w:usb0="00000000" w:usb1="00000000" w:usb2="00000000" w:usb3="00000000" w:csb0="00040000" w:csb1="00000000"/>
  </w:font>
  <w:font w:name="PMingLiU">
    <w:panose1 w:val="02020500000000000000"/>
    <w:charset w:val="88"/>
    <w:family w:val="swiss"/>
    <w:pitch w:val="default"/>
    <w:sig w:usb0="A00002FF" w:usb1="28CFFCFA" w:usb2="00000016" w:usb3="00000000" w:csb0="00100001" w:csb1="00000000"/>
  </w:font>
  <w:font w:name="微软简标宋">
    <w:altName w:val="宋体"/>
    <w:panose1 w:val="00000000000000000000"/>
    <w:charset w:val="86"/>
    <w:family w:val="auto"/>
    <w:pitch w:val="default"/>
    <w:sig w:usb0="00000000" w:usb1="00000000" w:usb2="00000010" w:usb3="00000000" w:csb0="00040000" w:csb1="00000000"/>
  </w:font>
  <w:font w:name="Palatino Linotype">
    <w:panose1 w:val="02040502050505030304"/>
    <w:charset w:val="00"/>
    <w:family w:val="auto"/>
    <w:pitch w:val="default"/>
    <w:sig w:usb0="E0000287" w:usb1="40000013" w:usb2="00000000" w:usb3="00000000" w:csb0="2000019F" w:csb1="00000000"/>
  </w:font>
  <w:font w:name="Courier New">
    <w:panose1 w:val="02070309020205020404"/>
    <w:charset w:val="00"/>
    <w:family w:val="auto"/>
    <w:pitch w:val="default"/>
    <w:sig w:usb0="E0002AFF" w:usb1="C0007843" w:usb2="00000009" w:usb3="00000000" w:csb0="400001FF" w:csb1="FFFF0000"/>
  </w:font>
  <w:font w:name="|||Times New Rom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仿宋">
    <w:panose1 w:val="02010600040101010101"/>
    <w:charset w:val="86"/>
    <w:family w:val="auto"/>
    <w:pitch w:val="default"/>
    <w:sig w:usb0="00000287" w:usb1="080F0000" w:usb2="00000000" w:usb3="00000000" w:csb0="0004009F" w:csb1="DFD70000"/>
  </w:font>
  <w:font w:name="Malgun Gothic">
    <w:panose1 w:val="020B0503020000020004"/>
    <w:charset w:val="81"/>
    <w:family w:val="auto"/>
    <w:pitch w:val="default"/>
    <w:sig w:usb0="900002AF" w:usb1="01D77CFB" w:usb2="00000012" w:usb3="00000000" w:csb0="00080001" w:csb1="00000000"/>
  </w:font>
  <w:font w:name="PMingLiU-ExtB">
    <w:panose1 w:val="02020500000000000000"/>
    <w:charset w:val="88"/>
    <w:family w:val="auto"/>
    <w:pitch w:val="default"/>
    <w:sig w:usb0="8000002F" w:usb1="02000008" w:usb2="00000000" w:usb3="00000000" w:csb0="00100001" w:csb1="00000000"/>
  </w:font>
  <w:font w:name="华文楷体">
    <w:panose1 w:val="02010600040101010101"/>
    <w:charset w:val="86"/>
    <w:family w:val="auto"/>
    <w:pitch w:val="default"/>
    <w:sig w:usb0="00000287" w:usb1="080F0000" w:usb2="00000000" w:usb3="00000000" w:csb0="0004009F" w:csb1="DFD70000"/>
  </w:font>
  <w:font w:name="方正楷体简体">
    <w:altName w:val="宋体"/>
    <w:panose1 w:val="02010601030101010101"/>
    <w:charset w:val="86"/>
    <w:family w:val="auto"/>
    <w:pitch w:val="default"/>
    <w:sig w:usb0="00000000" w:usb1="00000000" w:usb2="00000010" w:usb3="00000000" w:csb0="00040000" w:csb1="00000000"/>
  </w:font>
  <w:font w:name="Comic Sans MS">
    <w:panose1 w:val="030F0702030302020204"/>
    <w:charset w:val="00"/>
    <w:family w:val="auto"/>
    <w:pitch w:val="default"/>
    <w:sig w:usb0="00000287" w:usb1="00000000" w:usb2="00000000" w:usb3="00000000" w:csb0="2000009F" w:csb1="00000000"/>
  </w:font>
  <w:font w:name="monospace">
    <w:altName w:val="Segoe Print"/>
    <w:panose1 w:val="00000000000000000000"/>
    <w:charset w:val="00"/>
    <w:family w:val="auto"/>
    <w:pitch w:val="default"/>
    <w:sig w:usb0="00000000" w:usb1="00000000" w:usb2="00000000" w:usb3="00000000" w:csb0="00040001" w:csb1="00000000"/>
  </w:font>
  <w:font w:name="瀹嬩綋">
    <w:altName w:val="Segoe Print"/>
    <w:panose1 w:val="00000000000000000000"/>
    <w:charset w:val="00"/>
    <w:family w:val="auto"/>
    <w:pitch w:val="default"/>
    <w:sig w:usb0="00000000" w:usb1="00000000" w:usb2="00000000" w:usb3="00000000" w:csb0="00000000" w:csb1="00000000"/>
  </w:font>
  <w:font w:name="FangSong_GB2312">
    <w:altName w:val="仿宋_GB2312"/>
    <w:panose1 w:val="00000000000000000000"/>
    <w:charset w:val="86"/>
    <w:family w:val="auto"/>
    <w:pitch w:val="default"/>
    <w:sig w:usb0="00000000" w:usb1="00000000" w:usb2="00000000" w:usb3="00000000" w:csb0="00040000" w:csb1="00000000"/>
  </w:font>
  <w:font w:name="KaiTi_GB2312">
    <w:altName w:val="宋体"/>
    <w:panose1 w:val="00000000000000000000"/>
    <w:charset w:val="86"/>
    <w:family w:val="auto"/>
    <w:pitch w:val="default"/>
    <w:sig w:usb0="00000000" w:usb1="0000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Bradley Hand ITC">
    <w:panose1 w:val="03070402050302030203"/>
    <w:charset w:val="00"/>
    <w:family w:val="auto"/>
    <w:pitch w:val="default"/>
    <w:sig w:usb0="00000003" w:usb1="00000000" w:usb2="00000000" w:usb3="00000000" w:csb0="20000001" w:csb1="00000000"/>
  </w:font>
  <w:font w:name="Britannic Bold">
    <w:panose1 w:val="020B0903060703020204"/>
    <w:charset w:val="00"/>
    <w:family w:val="auto"/>
    <w:pitch w:val="default"/>
    <w:sig w:usb0="00000003" w:usb1="00000000" w:usb2="00000000" w:usb3="00000000" w:csb0="20000001" w:csb1="00000000"/>
  </w:font>
  <w:font w:name="Broadway">
    <w:panose1 w:val="04040905080B02020502"/>
    <w:charset w:val="00"/>
    <w:family w:val="auto"/>
    <w:pitch w:val="default"/>
    <w:sig w:usb0="00000003" w:usb1="00000000" w:usb2="00000000" w:usb3="00000000" w:csb0="20000001" w:csb1="0000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Brush Script MT">
    <w:panose1 w:val="03060802040406070304"/>
    <w:charset w:val="00"/>
    <w:family w:val="auto"/>
    <w:pitch w:val="default"/>
    <w:sig w:usb0="00000003" w:usb1="00000000" w:usb2="00000000" w:usb3="00000000" w:csb0="20000001" w:csb1="00000000"/>
  </w:font>
  <w:font w:name="Californian FB">
    <w:panose1 w:val="0207040306080B030204"/>
    <w:charset w:val="00"/>
    <w:family w:val="auto"/>
    <w:pitch w:val="default"/>
    <w:sig w:usb0="00000003" w:usb1="00000000" w:usb2="00000000" w:usb3="00000000" w:csb0="20000001" w:csb1="00000000"/>
  </w:font>
  <w:font w:name="Calisto MT">
    <w:panose1 w:val="02040603050505030304"/>
    <w:charset w:val="00"/>
    <w:family w:val="auto"/>
    <w:pitch w:val="default"/>
    <w:sig w:usb0="00000003" w:usb1="00000000" w:usb2="00000000" w:usb3="00000000" w:csb0="20000001" w:csb1="00000000"/>
  </w:font>
  <w:font w:name="Bodoni PosterCompressed">
    <w:altName w:val="Segoe Print"/>
    <w:panose1 w:val="00000000000000000000"/>
    <w:charset w:val="00"/>
    <w:family w:val="auto"/>
    <w:pitch w:val="default"/>
    <w:sig w:usb0="00000000" w:usb1="00000000" w:usb2="00000000" w:usb3="00000000" w:csb0="00000000" w:csb1="00000000"/>
  </w:font>
  <w:font w:name="Book Antiqua">
    <w:panose1 w:val="02040602050305030304"/>
    <w:charset w:val="00"/>
    <w:family w:val="auto"/>
    <w:pitch w:val="default"/>
    <w:sig w:usb0="00000287" w:usb1="00000000" w:usb2="00000000" w:usb3="00000000" w:csb0="2000009F" w:csb1="DFD70000"/>
  </w:font>
  <w:font w:name="Bookman Old Style">
    <w:panose1 w:val="02050604050505020204"/>
    <w:charset w:val="00"/>
    <w:family w:val="auto"/>
    <w:pitch w:val="default"/>
    <w:sig w:usb0="00000287"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汉仪雪君体简">
    <w:panose1 w:val="02010604000101010101"/>
    <w:charset w:val="86"/>
    <w:family w:val="auto"/>
    <w:pitch w:val="default"/>
    <w:sig w:usb0="00000001" w:usb1="080E0800" w:usb2="00000002" w:usb3="00000000" w:csb0="00040000" w:csb1="00000000"/>
  </w:font>
  <w:font w:name="长城中隶体">
    <w:panose1 w:val="02010609010101010101"/>
    <w:charset w:val="00"/>
    <w:family w:val="auto"/>
    <w:pitch w:val="default"/>
    <w:sig w:usb0="00000000" w:usb1="00000000" w:usb2="00000000" w:usb3="00000000" w:csb0="00000000" w:csb1="00000000"/>
  </w:font>
  <w:font w:name="长城新魏碑体">
    <w:panose1 w:val="02010609000101010101"/>
    <w:charset w:val="00"/>
    <w:family w:val="auto"/>
    <w:pitch w:val="default"/>
    <w:sig w:usb0="00000000" w:usb1="00000000" w:usb2="00000000" w:usb3="00000000" w:csb0="00000000" w:csb1="00000000"/>
  </w:font>
  <w:font w:name="隶书">
    <w:panose1 w:val="0201050906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康娃娃体W5">
    <w:altName w:val="宋体"/>
    <w:panose1 w:val="040B0509000000000000"/>
    <w:charset w:val="86"/>
    <w:family w:val="auto"/>
    <w:pitch w:val="default"/>
    <w:sig w:usb0="00000000" w:usb1="00000000" w:usb2="00000012" w:usb3="00000000" w:csb0="00040000" w:csb1="00000000"/>
  </w:font>
  <w:font w:name="华康娃娃体W5(P)">
    <w:altName w:val="宋体"/>
    <w:panose1 w:val="040B0500000000000000"/>
    <w:charset w:val="86"/>
    <w:family w:val="auto"/>
    <w:pitch w:val="default"/>
    <w:sig w:usb0="00000000" w:usb1="00000000" w:usb2="00000012" w:usb3="00000000" w:csb0="00040000"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文鼎CS行楷">
    <w:panose1 w:val="02010609010101010101"/>
    <w:charset w:val="00"/>
    <w:family w:val="auto"/>
    <w:pitch w:val="default"/>
    <w:sig w:usb0="00000000" w:usb1="00000000" w:usb2="00000000" w:usb3="00000000" w:csb0="00000000" w:csb1="00000000"/>
  </w:font>
  <w:font w:name="华文隶书">
    <w:panose1 w:val="02010800040101010101"/>
    <w:charset w:val="86"/>
    <w:family w:val="auto"/>
    <w:pitch w:val="default"/>
    <w:sig w:usb0="00000001" w:usb1="080F0000" w:usb2="00000000" w:usb3="00000000" w:csb0="00040000" w:csb1="00000000"/>
  </w:font>
  <w:font w:name="文鼎中特广告体">
    <w:panose1 w:val="020B0602010101010101"/>
    <w:charset w:val="86"/>
    <w:family w:val="auto"/>
    <w:pitch w:val="default"/>
    <w:sig w:usb0="00000001" w:usb1="080E0000" w:usb2="00000000" w:usb3="00000000" w:csb0="00040000" w:csb1="00000000"/>
  </w:font>
  <w:font w:name="文鼎习字体">
    <w:panose1 w:val="020B0602010101010101"/>
    <w:charset w:val="86"/>
    <w:family w:val="auto"/>
    <w:pitch w:val="default"/>
    <w:sig w:usb0="00000001" w:usb1="080E0000" w:usb2="00000000" w:usb3="00000000" w:csb0="00040000" w:csb1="00000000"/>
  </w:font>
  <w:font w:name="方正楷体繁体">
    <w:altName w:val="宋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Mongolian Baiti">
    <w:panose1 w:val="03000500000000000000"/>
    <w:charset w:val="00"/>
    <w:family w:val="auto"/>
    <w:pitch w:val="default"/>
    <w:sig w:usb0="80000023" w:usb1="00000000" w:usb2="00020000" w:usb3="00000000" w:csb0="00000001" w:csb1="00000000"/>
  </w:font>
  <w:font w:name="Gabriola">
    <w:panose1 w:val="04040605051002020D02"/>
    <w:charset w:val="00"/>
    <w:family w:val="auto"/>
    <w:pitch w:val="default"/>
    <w:sig w:usb0="E00002EF" w:usb1="5000204B" w:usb2="00000000" w:usb3="00000000" w:csb0="2000009F" w:csb1="00000000"/>
  </w:font>
  <w:font w:name="Symbol">
    <w:panose1 w:val="05050102010706020507"/>
    <w:charset w:val="00"/>
    <w:family w:val="auto"/>
    <w:pitch w:val="default"/>
    <w:sig w:usb0="00000000" w:usb1="00000000" w:usb2="00000000" w:usb3="00000000" w:csb0="80000000" w:csb1="00000000"/>
  </w:font>
  <w:font w:name="创艺简标宋">
    <w:altName w:val="黑体"/>
    <w:panose1 w:val="00000000000000000000"/>
    <w:charset w:val="86"/>
    <w:family w:val="auto"/>
    <w:pitch w:val="default"/>
    <w:sig w:usb0="00000000" w:usb1="00000000" w:usb2="00000010" w:usb3="00000000" w:csb0="00040000" w:csb1="00000000"/>
  </w:font>
  <w:font w:name="Glyphicons Halflings">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baikeFont_layout">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Microsoft YaHei UI Light">
    <w:altName w:val="宋体"/>
    <w:panose1 w:val="020B0502040204020203"/>
    <w:charset w:val="86"/>
    <w:family w:val="auto"/>
    <w:pitch w:val="default"/>
    <w:sig w:usb0="00000000" w:usb1="00000000" w:usb2="00000016" w:usb3="00000000" w:csb0="0004001F" w:csb1="00000000"/>
  </w:font>
  <w:font w:name="MS Mincho">
    <w:panose1 w:val="02020609040205080304"/>
    <w:charset w:val="80"/>
    <w:family w:val="auto"/>
    <w:pitch w:val="default"/>
    <w:sig w:usb0="E00002FF" w:usb1="6AC7FDFB" w:usb2="00000012" w:usb3="00000000" w:csb0="4002009F" w:csb1="DFD70000"/>
  </w:font>
  <w:font w:name="Yu Gothic UI Semibold">
    <w:altName w:val="Meiryo UI"/>
    <w:panose1 w:val="020B0700000000000000"/>
    <w:charset w:val="80"/>
    <w:family w:val="auto"/>
    <w:pitch w:val="default"/>
    <w:sig w:usb0="00000000" w:usb1="00000000" w:usb2="00000016" w:usb3="00000000" w:csb0="2002009F" w:csb1="00000000"/>
  </w:font>
  <w:font w:name="Yu Gothic UI">
    <w:altName w:val="Meiryo UI"/>
    <w:panose1 w:val="020B0500000000000000"/>
    <w:charset w:val="80"/>
    <w:family w:val="auto"/>
    <w:pitch w:val="default"/>
    <w:sig w:usb0="00000000" w:usb1="00000000" w:usb2="00000016" w:usb3="00000000" w:csb0="2002009F" w:csb1="00000000"/>
  </w:font>
  <w:font w:name="方正粗黑宋简体">
    <w:altName w:val="宋体"/>
    <w:panose1 w:val="02000000000000000000"/>
    <w:charset w:val="86"/>
    <w:family w:val="auto"/>
    <w:pitch w:val="default"/>
    <w:sig w:usb0="00000000" w:usb1="00000000" w:usb2="00000012" w:usb3="00000000" w:csb0="00040001" w:csb1="00000000"/>
  </w:font>
  <w:font w:name="方正美黑简体">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文鼎习">
    <w:altName w:val="宋体"/>
    <w:panose1 w:val="020B0602010101010101"/>
    <w:charset w:val="86"/>
    <w:family w:val="auto"/>
    <w:pitch w:val="default"/>
    <w:sig w:usb0="00000000" w:usb1="00000000" w:usb2="00000000" w:usb3="00000000" w:csb0="00040000" w:csb1="00000000"/>
  </w:font>
  <w:font w:name="文鼎中特೏">
    <w:altName w:val="宋体"/>
    <w:panose1 w:val="020B0602010101010101"/>
    <w:charset w:val="86"/>
    <w:family w:val="auto"/>
    <w:pitch w:val="default"/>
    <w:sig w:usb0="00000000" w:usb1="00000000" w:usb2="00000000" w:usb3="00000000" w:csb0="00040000" w:csb1="00000000"/>
  </w:font>
  <w:font w:name="长城中">
    <w:altName w:val="Segoe Print"/>
    <w:panose1 w:val="02010609010101010101"/>
    <w:charset w:val="00"/>
    <w:family w:val="auto"/>
    <w:pitch w:val="default"/>
    <w:sig w:usb0="00000000" w:usb1="00000000" w:usb2="00000000" w:usb3="00000000" w:csb0="00000000" w:csb1="00000000"/>
  </w:font>
  <w:font w:name="Microsoft JhengHei">
    <w:panose1 w:val="020B0604030504040204"/>
    <w:charset w:val="88"/>
    <w:family w:val="auto"/>
    <w:pitch w:val="default"/>
    <w:sig w:usb0="00000087" w:usb1="28AF4000" w:usb2="00000016" w:usb3="00000000" w:csb0="00100009"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Microsoft JhengHei UI">
    <w:panose1 w:val="020B0604030504040204"/>
    <w:charset w:val="88"/>
    <w:family w:val="auto"/>
    <w:pitch w:val="default"/>
    <w:sig w:usb0="00000087" w:usb1="28AF4000" w:usb2="00000016" w:usb3="00000000" w:csb0="00100009" w:csb1="00000000"/>
  </w:font>
  <w:font w:name="Malgun Gothic Semilight">
    <w:altName w:val="宋体"/>
    <w:panose1 w:val="020B0502040204020203"/>
    <w:charset w:val="86"/>
    <w:family w:val="auto"/>
    <w:pitch w:val="default"/>
    <w:sig w:usb0="00000000" w:usb1="00000000" w:usb2="00000012" w:usb3="00000000" w:csb0="203E01BD" w:csb1="D7FF0000"/>
  </w:font>
  <w:font w:name="文鼎中特穌ㄜȠ">
    <w:altName w:val="宋体"/>
    <w:panose1 w:val="020B0602010101010101"/>
    <w:charset w:val="86"/>
    <w:family w:val="auto"/>
    <w:pitch w:val="default"/>
    <w:sig w:usb0="00000000" w:usb1="00000000" w:usb2="00000000" w:usb3="00000000" w:csb0="00040000" w:csb1="00000000"/>
  </w:font>
  <w:font w:name="文鼎习ă田ㄜȠ">
    <w:altName w:val="宋体"/>
    <w:panose1 w:val="020B0602010101010101"/>
    <w:charset w:val="86"/>
    <w:family w:val="auto"/>
    <w:pitch w:val="default"/>
    <w:sig w:usb0="00000000" w:usb1="00000000" w:usb2="00000000" w:usb3="00000000" w:csb0="00040000" w:csb1="00000000"/>
  </w:font>
  <w:font w:name="-webkit-standard">
    <w:altName w:val="Times New Roman"/>
    <w:panose1 w:val="00000000000000000000"/>
    <w:charset w:val="00"/>
    <w:family w:val="roman"/>
    <w:pitch w:val="default"/>
    <w:sig w:usb0="00000000" w:usb1="00000000" w:usb2="00000000" w:usb3="00000000" w:csb0="00040001" w:csb1="00000000"/>
  </w:font>
  <w:font w:name="Meiryo UI">
    <w:panose1 w:val="020B0604030504040204"/>
    <w:charset w:val="80"/>
    <w:family w:val="auto"/>
    <w:pitch w:val="default"/>
    <w:sig w:usb0="E10102FF" w:usb1="EAC7FFFF" w:usb2="00010012" w:usb3="00000000" w:csb0="6002009F" w:csb1="DFD70000"/>
  </w:font>
  <w:font w:name="Ink Free">
    <w:altName w:val="Mongolian Baiti"/>
    <w:panose1 w:val="030804020005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BF5FCD"/>
    <w:rsid w:val="01B96752"/>
    <w:rsid w:val="034E3034"/>
    <w:rsid w:val="03E43B6C"/>
    <w:rsid w:val="04823BEB"/>
    <w:rsid w:val="05333677"/>
    <w:rsid w:val="05CE5CCD"/>
    <w:rsid w:val="06D53BFE"/>
    <w:rsid w:val="07D345D1"/>
    <w:rsid w:val="09014231"/>
    <w:rsid w:val="09A559D2"/>
    <w:rsid w:val="0A193977"/>
    <w:rsid w:val="0D1B13D5"/>
    <w:rsid w:val="0E6D1254"/>
    <w:rsid w:val="111774FB"/>
    <w:rsid w:val="11DC63F7"/>
    <w:rsid w:val="12D9662C"/>
    <w:rsid w:val="164606CC"/>
    <w:rsid w:val="16D72930"/>
    <w:rsid w:val="178E40FF"/>
    <w:rsid w:val="17C77025"/>
    <w:rsid w:val="18371601"/>
    <w:rsid w:val="19F425B6"/>
    <w:rsid w:val="1A40187F"/>
    <w:rsid w:val="1C1E2499"/>
    <w:rsid w:val="1DEB6CDF"/>
    <w:rsid w:val="207708E2"/>
    <w:rsid w:val="22E360EF"/>
    <w:rsid w:val="236D36E6"/>
    <w:rsid w:val="24D4574B"/>
    <w:rsid w:val="26A97376"/>
    <w:rsid w:val="294312DB"/>
    <w:rsid w:val="29941EB9"/>
    <w:rsid w:val="2B0A222C"/>
    <w:rsid w:val="2B1A79C5"/>
    <w:rsid w:val="2B9A6326"/>
    <w:rsid w:val="2C555A89"/>
    <w:rsid w:val="2CF97110"/>
    <w:rsid w:val="2D7F1905"/>
    <w:rsid w:val="33F34FF6"/>
    <w:rsid w:val="34261A47"/>
    <w:rsid w:val="34C05A9D"/>
    <w:rsid w:val="352700A3"/>
    <w:rsid w:val="357E6E96"/>
    <w:rsid w:val="38BF1C89"/>
    <w:rsid w:val="38F1523E"/>
    <w:rsid w:val="3AE26370"/>
    <w:rsid w:val="3D402F1C"/>
    <w:rsid w:val="3FE21E88"/>
    <w:rsid w:val="3FE73036"/>
    <w:rsid w:val="40915F9D"/>
    <w:rsid w:val="413E65FA"/>
    <w:rsid w:val="439403A4"/>
    <w:rsid w:val="44DA219B"/>
    <w:rsid w:val="45872A6A"/>
    <w:rsid w:val="46F14B86"/>
    <w:rsid w:val="48B26775"/>
    <w:rsid w:val="4A2029DD"/>
    <w:rsid w:val="4B9F44A4"/>
    <w:rsid w:val="4D707356"/>
    <w:rsid w:val="4DCD66C1"/>
    <w:rsid w:val="4E2E3F91"/>
    <w:rsid w:val="4EE75C0B"/>
    <w:rsid w:val="501C5CE0"/>
    <w:rsid w:val="51064C6C"/>
    <w:rsid w:val="53BE7FE0"/>
    <w:rsid w:val="57673095"/>
    <w:rsid w:val="57897EA0"/>
    <w:rsid w:val="58A057CF"/>
    <w:rsid w:val="592615C2"/>
    <w:rsid w:val="598D53B2"/>
    <w:rsid w:val="59BF5FCD"/>
    <w:rsid w:val="5B3622D2"/>
    <w:rsid w:val="5B933A24"/>
    <w:rsid w:val="5CCD50F4"/>
    <w:rsid w:val="5CDF7131"/>
    <w:rsid w:val="5DD15C06"/>
    <w:rsid w:val="60FB34D1"/>
    <w:rsid w:val="6351275A"/>
    <w:rsid w:val="66A853D3"/>
    <w:rsid w:val="684A32BF"/>
    <w:rsid w:val="68F31AC2"/>
    <w:rsid w:val="69CC2A6A"/>
    <w:rsid w:val="6BE433C3"/>
    <w:rsid w:val="6CE620FD"/>
    <w:rsid w:val="6DD421E7"/>
    <w:rsid w:val="714B3B90"/>
    <w:rsid w:val="725906B6"/>
    <w:rsid w:val="73063BBF"/>
    <w:rsid w:val="73191698"/>
    <w:rsid w:val="73927156"/>
    <w:rsid w:val="744E435F"/>
    <w:rsid w:val="75BA3EFF"/>
    <w:rsid w:val="77B211A2"/>
    <w:rsid w:val="77C07BF3"/>
    <w:rsid w:val="790C2626"/>
    <w:rsid w:val="7A55797A"/>
    <w:rsid w:val="7DE153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link w:val="6"/>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Char"/>
    <w:basedOn w:val="1"/>
    <w:link w:val="5"/>
    <w:qFormat/>
    <w:uiPriority w:val="0"/>
  </w:style>
  <w:style w:type="character" w:styleId="7">
    <w:name w:val="Strong"/>
    <w:basedOn w:val="5"/>
    <w:qFormat/>
    <w:uiPriority w:val="0"/>
    <w:rPr>
      <w:b/>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btLr"/>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2017-02-15T01:42:00Z</dcterms:created>
  <dc:creator>jirigele</dc:creator>
  <cp:lastModifiedBy>dumengxin</cp:lastModifiedBy>
  <cp:lastPrinted>2019-04-23T08:28:00Z</cp:lastPrinted>
  <dcterms:modified xsi:type="dcterms:W3CDTF">2019-06-24T08:18:22Z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